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3DA8A5" w:rsidR="00BA21E4" w:rsidRPr="000B46A6" w:rsidRDefault="000B46A6">
      <w:pPr>
        <w:pStyle w:val="Heading1"/>
        <w:jc w:val="center"/>
        <w:rPr>
          <w:rStyle w:val="IntenseEmphasis"/>
          <w:i w:val="0"/>
          <w:iCs w:val="0"/>
        </w:rPr>
      </w:pPr>
      <w:bookmarkStart w:id="0" w:name="_Toc77843589"/>
      <w:r w:rsidRPr="000B46A6">
        <w:rPr>
          <w:rStyle w:val="IntenseEmphasis"/>
          <w:i w:val="0"/>
          <w:iCs w:val="0"/>
        </w:rPr>
        <w:t>Methodology Note</w:t>
      </w:r>
      <w:bookmarkEnd w:id="0"/>
    </w:p>
    <w:p w14:paraId="00000002" w14:textId="77777777" w:rsidR="00BA21E4" w:rsidRPr="000B46A6" w:rsidRDefault="00AF3044">
      <w:pPr>
        <w:jc w:val="center"/>
        <w:rPr>
          <w:rStyle w:val="IntenseEmphasis"/>
          <w:i w:val="0"/>
          <w:iCs w:val="0"/>
        </w:rPr>
      </w:pPr>
      <w:r w:rsidRPr="000B46A6">
        <w:rPr>
          <w:rStyle w:val="IntenseEmphasis"/>
          <w:i w:val="0"/>
          <w:iCs w:val="0"/>
        </w:rPr>
        <w:t>Supplementary Methodological Information</w:t>
      </w:r>
    </w:p>
    <w:p w14:paraId="00000003" w14:textId="77777777" w:rsidR="00BA21E4" w:rsidRPr="000B46A6" w:rsidRDefault="00BA21E4">
      <w:pPr>
        <w:rPr>
          <w:rStyle w:val="IntenseEmphasis"/>
          <w:i w:val="0"/>
          <w:iCs w:val="0"/>
        </w:rPr>
      </w:pPr>
    </w:p>
    <w:p w14:paraId="00000004" w14:textId="77777777" w:rsidR="00BA21E4" w:rsidRPr="000B46A6" w:rsidRDefault="00AF3044">
      <w:pPr>
        <w:rPr>
          <w:rFonts w:asciiTheme="majorHAnsi" w:eastAsia="Times New Roman" w:hAnsiTheme="majorHAnsi" w:cstheme="majorHAnsi"/>
          <w:sz w:val="28"/>
          <w:szCs w:val="28"/>
        </w:rPr>
      </w:pPr>
      <w:r w:rsidRPr="000B46A6">
        <w:rPr>
          <w:rFonts w:asciiTheme="majorHAnsi" w:eastAsia="Times New Roman" w:hAnsiTheme="majorHAnsi" w:cstheme="majorHAnsi"/>
          <w:b/>
          <w:sz w:val="28"/>
          <w:szCs w:val="28"/>
        </w:rPr>
        <w:t>Contents</w:t>
      </w:r>
    </w:p>
    <w:sdt>
      <w:sdtPr>
        <w:rPr>
          <w:rFonts w:asciiTheme="majorHAnsi" w:hAnsiTheme="majorHAnsi" w:cstheme="majorHAnsi"/>
        </w:rPr>
        <w:id w:val="-1051837112"/>
        <w:docPartObj>
          <w:docPartGallery w:val="Table of Contents"/>
          <w:docPartUnique/>
        </w:docPartObj>
      </w:sdtPr>
      <w:sdtEndPr/>
      <w:sdtContent>
        <w:p w14:paraId="4730BFAA" w14:textId="77777777" w:rsidR="000B46A6" w:rsidRDefault="00AF3044">
          <w:pPr>
            <w:pStyle w:val="TOC1"/>
            <w:tabs>
              <w:tab w:val="right" w:leader="dot" w:pos="9350"/>
            </w:tabs>
            <w:rPr>
              <w:rFonts w:asciiTheme="minorHAnsi" w:eastAsiaTheme="minorEastAsia" w:hAnsiTheme="minorHAnsi" w:cstheme="minorBidi"/>
              <w:noProof/>
              <w:lang w:val="en-GB"/>
            </w:rPr>
          </w:pPr>
          <w:r w:rsidRPr="000B46A6">
            <w:rPr>
              <w:rFonts w:asciiTheme="majorHAnsi" w:hAnsiTheme="majorHAnsi" w:cstheme="majorHAnsi"/>
            </w:rPr>
            <w:fldChar w:fldCharType="begin"/>
          </w:r>
          <w:r w:rsidRPr="000B46A6">
            <w:rPr>
              <w:rFonts w:asciiTheme="majorHAnsi" w:hAnsiTheme="majorHAnsi" w:cstheme="majorHAnsi"/>
            </w:rPr>
            <w:instrText xml:space="preserve"> TOC \h \u \z \n </w:instrText>
          </w:r>
          <w:r w:rsidRPr="000B46A6">
            <w:rPr>
              <w:rFonts w:asciiTheme="majorHAnsi" w:hAnsiTheme="majorHAnsi" w:cstheme="majorHAnsi"/>
            </w:rPr>
            <w:fldChar w:fldCharType="separate"/>
          </w:r>
          <w:hyperlink w:anchor="_Toc77843589" w:history="1">
            <w:r w:rsidR="000B46A6" w:rsidRPr="0089154A">
              <w:rPr>
                <w:rStyle w:val="Hyperlink"/>
                <w:noProof/>
              </w:rPr>
              <w:t>Methodology Note</w:t>
            </w:r>
          </w:hyperlink>
        </w:p>
        <w:p w14:paraId="3435AF08" w14:textId="77777777" w:rsidR="000B46A6" w:rsidRDefault="00AD7FA7">
          <w:pPr>
            <w:pStyle w:val="TOC3"/>
            <w:tabs>
              <w:tab w:val="right" w:leader="dot" w:pos="9350"/>
            </w:tabs>
            <w:rPr>
              <w:rFonts w:asciiTheme="minorHAnsi" w:eastAsiaTheme="minorEastAsia" w:hAnsiTheme="minorHAnsi" w:cstheme="minorBidi"/>
              <w:noProof/>
              <w:lang w:val="en-GB"/>
            </w:rPr>
          </w:pPr>
          <w:hyperlink w:anchor="_Toc77843590" w:history="1">
            <w:r w:rsidR="000B46A6" w:rsidRPr="0089154A">
              <w:rPr>
                <w:rStyle w:val="Hyperlink"/>
                <w:rFonts w:asciiTheme="majorHAnsi" w:eastAsia="Times New Roman" w:hAnsiTheme="majorHAnsi" w:cstheme="majorHAnsi"/>
                <w:noProof/>
              </w:rPr>
              <w:t>Data Sample</w:t>
            </w:r>
          </w:hyperlink>
        </w:p>
        <w:p w14:paraId="0A888A52" w14:textId="77777777" w:rsidR="000B46A6" w:rsidRDefault="00AD7FA7">
          <w:pPr>
            <w:pStyle w:val="TOC3"/>
            <w:tabs>
              <w:tab w:val="right" w:leader="dot" w:pos="9350"/>
            </w:tabs>
            <w:rPr>
              <w:rFonts w:asciiTheme="minorHAnsi" w:eastAsiaTheme="minorEastAsia" w:hAnsiTheme="minorHAnsi" w:cstheme="minorBidi"/>
              <w:noProof/>
              <w:lang w:val="en-GB"/>
            </w:rPr>
          </w:pPr>
          <w:hyperlink w:anchor="_Toc77843591" w:history="1">
            <w:r w:rsidR="000B46A6" w:rsidRPr="0089154A">
              <w:rPr>
                <w:rStyle w:val="Hyperlink"/>
                <w:rFonts w:asciiTheme="majorHAnsi" w:eastAsia="Times New Roman" w:hAnsiTheme="majorHAnsi" w:cstheme="majorHAnsi"/>
                <w:noProof/>
              </w:rPr>
              <w:t>Data Collection</w:t>
            </w:r>
          </w:hyperlink>
        </w:p>
        <w:p w14:paraId="332F190C" w14:textId="77777777" w:rsidR="000B46A6" w:rsidRDefault="00AD7FA7">
          <w:pPr>
            <w:pStyle w:val="TOC3"/>
            <w:tabs>
              <w:tab w:val="right" w:leader="dot" w:pos="9350"/>
            </w:tabs>
            <w:rPr>
              <w:rFonts w:asciiTheme="minorHAnsi" w:eastAsiaTheme="minorEastAsia" w:hAnsiTheme="minorHAnsi" w:cstheme="minorBidi"/>
              <w:noProof/>
              <w:lang w:val="en-GB"/>
            </w:rPr>
          </w:pPr>
          <w:hyperlink w:anchor="_Toc77843592" w:history="1">
            <w:r w:rsidR="000B46A6" w:rsidRPr="0089154A">
              <w:rPr>
                <w:rStyle w:val="Hyperlink"/>
                <w:rFonts w:asciiTheme="majorHAnsi" w:eastAsia="Times New Roman" w:hAnsiTheme="majorHAnsi" w:cstheme="majorHAnsi"/>
                <w:noProof/>
              </w:rPr>
              <w:t>Variable Definitions</w:t>
            </w:r>
          </w:hyperlink>
        </w:p>
        <w:p w14:paraId="30E0B01C" w14:textId="77777777" w:rsidR="000B46A6" w:rsidRDefault="00AD7FA7">
          <w:pPr>
            <w:pStyle w:val="TOC3"/>
            <w:tabs>
              <w:tab w:val="right" w:leader="dot" w:pos="9350"/>
            </w:tabs>
            <w:rPr>
              <w:rFonts w:asciiTheme="minorHAnsi" w:eastAsiaTheme="minorEastAsia" w:hAnsiTheme="minorHAnsi" w:cstheme="minorBidi"/>
              <w:noProof/>
              <w:lang w:val="en-GB"/>
            </w:rPr>
          </w:pPr>
          <w:hyperlink w:anchor="_Toc77843593" w:history="1">
            <w:r w:rsidR="000B46A6" w:rsidRPr="0089154A">
              <w:rPr>
                <w:rStyle w:val="Hyperlink"/>
                <w:rFonts w:asciiTheme="majorHAnsi" w:eastAsia="Times New Roman" w:hAnsiTheme="majorHAnsi" w:cstheme="majorHAnsi"/>
                <w:noProof/>
              </w:rPr>
              <w:t>Notes on Replication</w:t>
            </w:r>
          </w:hyperlink>
        </w:p>
        <w:p w14:paraId="36D0F857" w14:textId="77777777" w:rsidR="000B46A6" w:rsidRDefault="00AD7FA7">
          <w:pPr>
            <w:pStyle w:val="TOC3"/>
            <w:tabs>
              <w:tab w:val="right" w:leader="dot" w:pos="9350"/>
            </w:tabs>
            <w:rPr>
              <w:rFonts w:asciiTheme="minorHAnsi" w:eastAsiaTheme="minorEastAsia" w:hAnsiTheme="minorHAnsi" w:cstheme="minorBidi"/>
              <w:noProof/>
              <w:lang w:val="en-GB"/>
            </w:rPr>
          </w:pPr>
          <w:hyperlink w:anchor="_Toc77843594" w:history="1">
            <w:r w:rsidR="000B46A6" w:rsidRPr="0089154A">
              <w:rPr>
                <w:rStyle w:val="Hyperlink"/>
                <w:rFonts w:asciiTheme="majorHAnsi" w:eastAsia="Times New Roman" w:hAnsiTheme="majorHAnsi" w:cstheme="majorHAnsi"/>
                <w:noProof/>
              </w:rPr>
              <w:t>Case studies: Indonesia &amp; Mozambique</w:t>
            </w:r>
          </w:hyperlink>
        </w:p>
        <w:p w14:paraId="09D3F71A" w14:textId="77777777" w:rsidR="000B46A6" w:rsidRDefault="00AD7FA7">
          <w:pPr>
            <w:pStyle w:val="TOC4"/>
            <w:tabs>
              <w:tab w:val="right" w:leader="dot" w:pos="9350"/>
            </w:tabs>
            <w:rPr>
              <w:rFonts w:asciiTheme="minorHAnsi" w:eastAsiaTheme="minorEastAsia" w:hAnsiTheme="minorHAnsi" w:cstheme="minorBidi"/>
              <w:noProof/>
              <w:lang w:val="en-GB"/>
            </w:rPr>
          </w:pPr>
          <w:hyperlink w:anchor="_Toc77843595" w:history="1">
            <w:r w:rsidR="000B46A6" w:rsidRPr="0089154A">
              <w:rPr>
                <w:rStyle w:val="Hyperlink"/>
                <w:rFonts w:asciiTheme="majorHAnsi" w:eastAsia="Times New Roman" w:hAnsiTheme="majorHAnsi" w:cstheme="majorHAnsi"/>
                <w:noProof/>
              </w:rPr>
              <w:t>Indonesia</w:t>
            </w:r>
          </w:hyperlink>
        </w:p>
        <w:p w14:paraId="23BB5D97" w14:textId="77777777" w:rsidR="000B46A6" w:rsidRDefault="00AD7FA7">
          <w:pPr>
            <w:pStyle w:val="TOC4"/>
            <w:tabs>
              <w:tab w:val="right" w:leader="dot" w:pos="9350"/>
            </w:tabs>
            <w:rPr>
              <w:rFonts w:asciiTheme="minorHAnsi" w:eastAsiaTheme="minorEastAsia" w:hAnsiTheme="minorHAnsi" w:cstheme="minorBidi"/>
              <w:noProof/>
              <w:lang w:val="en-GB"/>
            </w:rPr>
          </w:pPr>
          <w:hyperlink w:anchor="_Toc77843596" w:history="1">
            <w:r w:rsidR="000B46A6" w:rsidRPr="0089154A">
              <w:rPr>
                <w:rStyle w:val="Hyperlink"/>
                <w:rFonts w:asciiTheme="majorHAnsi" w:eastAsia="Times New Roman" w:hAnsiTheme="majorHAnsi" w:cstheme="majorHAnsi"/>
                <w:noProof/>
              </w:rPr>
              <w:t>Mozambique</w:t>
            </w:r>
          </w:hyperlink>
        </w:p>
        <w:p w14:paraId="660225B9" w14:textId="77777777" w:rsidR="000B46A6" w:rsidRDefault="00AD7FA7">
          <w:pPr>
            <w:pStyle w:val="TOC3"/>
            <w:tabs>
              <w:tab w:val="right" w:leader="dot" w:pos="9350"/>
            </w:tabs>
            <w:rPr>
              <w:rFonts w:asciiTheme="minorHAnsi" w:eastAsiaTheme="minorEastAsia" w:hAnsiTheme="minorHAnsi" w:cstheme="minorBidi"/>
              <w:noProof/>
              <w:lang w:val="en-GB"/>
            </w:rPr>
          </w:pPr>
          <w:hyperlink w:anchor="_Toc77843597" w:history="1">
            <w:r w:rsidR="000B46A6" w:rsidRPr="0089154A">
              <w:rPr>
                <w:rStyle w:val="Hyperlink"/>
                <w:rFonts w:asciiTheme="majorHAnsi" w:eastAsia="Times New Roman" w:hAnsiTheme="majorHAnsi" w:cstheme="majorHAnsi"/>
                <w:noProof/>
              </w:rPr>
              <w:t>Data Summary</w:t>
            </w:r>
          </w:hyperlink>
        </w:p>
        <w:p w14:paraId="0000000D" w14:textId="7B6E0910" w:rsidR="00BA21E4" w:rsidRPr="000B46A6" w:rsidRDefault="00AF3044">
          <w:pPr>
            <w:spacing w:before="60" w:after="80" w:line="240" w:lineRule="auto"/>
            <w:ind w:left="720"/>
            <w:rPr>
              <w:rFonts w:asciiTheme="majorHAnsi" w:eastAsia="Times New Roman" w:hAnsiTheme="majorHAnsi" w:cstheme="majorHAnsi"/>
              <w:color w:val="1155CC"/>
              <w:u w:val="single"/>
            </w:rPr>
          </w:pPr>
          <w:r w:rsidRPr="000B46A6">
            <w:rPr>
              <w:rFonts w:asciiTheme="majorHAnsi" w:hAnsiTheme="majorHAnsi" w:cstheme="majorHAnsi"/>
            </w:rPr>
            <w:fldChar w:fldCharType="end"/>
          </w:r>
        </w:p>
      </w:sdtContent>
    </w:sdt>
    <w:p w14:paraId="0000000E" w14:textId="77777777" w:rsidR="00BA21E4" w:rsidRPr="000B46A6" w:rsidRDefault="00AF3044">
      <w:pPr>
        <w:pStyle w:val="Heading3"/>
        <w:rPr>
          <w:rFonts w:asciiTheme="majorHAnsi" w:eastAsia="Times New Roman" w:hAnsiTheme="majorHAnsi" w:cstheme="majorHAnsi"/>
          <w:b/>
          <w:bCs/>
          <w:sz w:val="24"/>
          <w:szCs w:val="24"/>
        </w:rPr>
      </w:pPr>
      <w:bookmarkStart w:id="1" w:name="_Toc77843590"/>
      <w:r w:rsidRPr="000B46A6">
        <w:rPr>
          <w:rFonts w:asciiTheme="majorHAnsi" w:eastAsia="Times New Roman" w:hAnsiTheme="majorHAnsi" w:cstheme="majorHAnsi"/>
          <w:b/>
          <w:bCs/>
          <w:sz w:val="24"/>
          <w:szCs w:val="24"/>
        </w:rPr>
        <w:t>Data Sample</w:t>
      </w:r>
      <w:bookmarkEnd w:id="1"/>
    </w:p>
    <w:p w14:paraId="0000000F" w14:textId="6EF61D46" w:rsidR="00BA21E4" w:rsidRPr="000B46A6" w:rsidRDefault="00AF3044">
      <w:pPr>
        <w:ind w:left="720"/>
        <w:rPr>
          <w:rFonts w:asciiTheme="majorHAnsi" w:eastAsia="Times New Roman" w:hAnsiTheme="majorHAnsi" w:cstheme="majorHAnsi"/>
          <w:color w:val="00000A"/>
        </w:rPr>
      </w:pPr>
      <w:r w:rsidRPr="000B46A6">
        <w:rPr>
          <w:rFonts w:asciiTheme="majorHAnsi" w:eastAsia="Times New Roman" w:hAnsiTheme="majorHAnsi" w:cstheme="majorHAnsi"/>
        </w:rPr>
        <w:t>The data sample includes 457 observations of policy advice originating from 293 Annual Reports published between December 1st, 2015</w:t>
      </w:r>
      <w:r w:rsidR="003A7EC6" w:rsidRPr="000B46A6">
        <w:rPr>
          <w:rFonts w:asciiTheme="majorHAnsi" w:eastAsia="Times New Roman" w:hAnsiTheme="majorHAnsi" w:cstheme="majorHAnsi"/>
        </w:rPr>
        <w:t>,</w:t>
      </w:r>
      <w:r w:rsidRPr="000B46A6">
        <w:rPr>
          <w:rFonts w:asciiTheme="majorHAnsi" w:eastAsia="Times New Roman" w:hAnsiTheme="majorHAnsi" w:cstheme="majorHAnsi"/>
        </w:rPr>
        <w:t xml:space="preserve"> and March 25th, 2021. During this </w:t>
      </w:r>
      <w:r w:rsidR="003A7EC6" w:rsidRPr="000B46A6">
        <w:rPr>
          <w:rFonts w:asciiTheme="majorHAnsi" w:eastAsia="Times New Roman" w:hAnsiTheme="majorHAnsi" w:cstheme="majorHAnsi"/>
        </w:rPr>
        <w:t>time span</w:t>
      </w:r>
      <w:r w:rsidRPr="000B46A6">
        <w:rPr>
          <w:rFonts w:asciiTheme="majorHAnsi" w:eastAsia="Times New Roman" w:hAnsiTheme="majorHAnsi" w:cstheme="majorHAnsi"/>
        </w:rPr>
        <w:t xml:space="preserve">, the Fund published a total of </w:t>
      </w:r>
      <w:r w:rsidRPr="000B46A6">
        <w:rPr>
          <w:rFonts w:asciiTheme="majorHAnsi" w:eastAsia="Times New Roman" w:hAnsiTheme="majorHAnsi" w:cstheme="majorHAnsi"/>
          <w:color w:val="00000A"/>
        </w:rPr>
        <w:t xml:space="preserve">595 total Article IV reports, although the frequency of publication is variable. The following data </w:t>
      </w:r>
      <w:r w:rsidR="003A7EC6" w:rsidRPr="000B46A6">
        <w:rPr>
          <w:rFonts w:asciiTheme="majorHAnsi" w:eastAsia="Times New Roman" w:hAnsiTheme="majorHAnsi" w:cstheme="majorHAnsi"/>
          <w:color w:val="00000A"/>
        </w:rPr>
        <w:t>indicate</w:t>
      </w:r>
      <w:r w:rsidRPr="000B46A6">
        <w:rPr>
          <w:rFonts w:asciiTheme="majorHAnsi" w:eastAsia="Times New Roman" w:hAnsiTheme="majorHAnsi" w:cstheme="majorHAnsi"/>
          <w:color w:val="00000A"/>
        </w:rPr>
        <w:t xml:space="preserve"> the relative frequency of policy advice to compensate for the truncated samples in years 2015 and 2021, as well as the drastic decrease in publication frequency during the 2020 pandemic.</w:t>
      </w:r>
    </w:p>
    <w:p w14:paraId="00000010" w14:textId="1E5F94D6" w:rsidR="00BA21E4" w:rsidRPr="000B46A6" w:rsidRDefault="00AF3044">
      <w:pPr>
        <w:ind w:left="720"/>
        <w:jc w:val="center"/>
        <w:rPr>
          <w:rFonts w:asciiTheme="majorHAnsi" w:eastAsia="Times New Roman" w:hAnsiTheme="majorHAnsi" w:cstheme="majorHAnsi"/>
          <w:color w:val="00000A"/>
        </w:rPr>
      </w:pPr>
      <w:r w:rsidRPr="000B46A6">
        <w:rPr>
          <w:rFonts w:asciiTheme="majorHAnsi" w:eastAsia="Times New Roman" w:hAnsiTheme="majorHAnsi" w:cstheme="majorHAnsi"/>
          <w:noProof/>
          <w:color w:val="00000A"/>
        </w:rPr>
        <w:drawing>
          <wp:inline distT="114300" distB="114300" distL="114300" distR="114300" wp14:anchorId="5777EC6F" wp14:editId="2EB6535D">
            <wp:extent cx="2452688" cy="19127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52688" cy="1912788"/>
                    </a:xfrm>
                    <a:prstGeom prst="rect">
                      <a:avLst/>
                    </a:prstGeom>
                    <a:ln/>
                  </pic:spPr>
                </pic:pic>
              </a:graphicData>
            </a:graphic>
          </wp:inline>
        </w:drawing>
      </w:r>
    </w:p>
    <w:p w14:paraId="00000011" w14:textId="77777777" w:rsidR="00BA21E4" w:rsidRPr="000B46A6" w:rsidRDefault="00BA21E4">
      <w:pPr>
        <w:ind w:left="720"/>
        <w:jc w:val="center"/>
        <w:rPr>
          <w:rFonts w:asciiTheme="majorHAnsi" w:eastAsia="Times New Roman" w:hAnsiTheme="majorHAnsi" w:cstheme="majorHAnsi"/>
          <w:color w:val="00000A"/>
        </w:rPr>
      </w:pPr>
    </w:p>
    <w:p w14:paraId="00000012" w14:textId="77777777" w:rsidR="00BA21E4" w:rsidRPr="000B46A6" w:rsidRDefault="00BA21E4">
      <w:pPr>
        <w:ind w:left="720"/>
        <w:rPr>
          <w:rFonts w:asciiTheme="majorHAnsi" w:eastAsia="Times New Roman" w:hAnsiTheme="majorHAnsi" w:cstheme="majorHAnsi"/>
          <w:color w:val="00000A"/>
        </w:rPr>
      </w:pPr>
    </w:p>
    <w:p w14:paraId="00000013" w14:textId="77777777" w:rsidR="00BA21E4" w:rsidRPr="000B46A6" w:rsidRDefault="00BA21E4">
      <w:pPr>
        <w:ind w:left="720"/>
        <w:rPr>
          <w:rFonts w:asciiTheme="majorHAnsi" w:eastAsia="Times New Roman" w:hAnsiTheme="majorHAnsi" w:cstheme="majorHAnsi"/>
          <w:color w:val="00000A"/>
        </w:rPr>
      </w:pPr>
    </w:p>
    <w:p w14:paraId="00000014" w14:textId="610A32D3" w:rsidR="00BA21E4" w:rsidRPr="000B46A6" w:rsidRDefault="00AF3044">
      <w:pPr>
        <w:ind w:left="720"/>
        <w:rPr>
          <w:rFonts w:asciiTheme="majorHAnsi" w:eastAsia="Times New Roman" w:hAnsiTheme="majorHAnsi" w:cstheme="majorHAnsi"/>
          <w:color w:val="00000A"/>
        </w:rPr>
      </w:pPr>
      <w:r w:rsidRPr="000B46A6">
        <w:rPr>
          <w:rFonts w:asciiTheme="majorHAnsi" w:eastAsia="Times New Roman" w:hAnsiTheme="majorHAnsi" w:cstheme="majorHAnsi"/>
          <w:color w:val="00000A"/>
        </w:rPr>
        <w:lastRenderedPageBreak/>
        <w:t>The year observed reflects the year of the Fund’s consultation, indicated in the Article IV Report’s title. Reports published at the beginning of any calendar year often reflect a consultation conducted in the previous year.</w:t>
      </w:r>
    </w:p>
    <w:p w14:paraId="00000015" w14:textId="77777777" w:rsidR="00BA21E4" w:rsidRPr="000B46A6" w:rsidRDefault="00BA21E4">
      <w:pPr>
        <w:rPr>
          <w:rFonts w:asciiTheme="majorHAnsi" w:eastAsia="Times New Roman" w:hAnsiTheme="majorHAnsi" w:cstheme="majorHAnsi"/>
        </w:rPr>
      </w:pPr>
    </w:p>
    <w:p w14:paraId="00000016" w14:textId="77777777" w:rsidR="00BA21E4" w:rsidRPr="000B46A6" w:rsidRDefault="00AF3044">
      <w:pPr>
        <w:pStyle w:val="Heading3"/>
        <w:rPr>
          <w:rFonts w:asciiTheme="majorHAnsi" w:eastAsia="Times New Roman" w:hAnsiTheme="majorHAnsi" w:cstheme="majorHAnsi"/>
          <w:b/>
          <w:bCs/>
          <w:sz w:val="24"/>
          <w:szCs w:val="24"/>
        </w:rPr>
      </w:pPr>
      <w:bookmarkStart w:id="2" w:name="_Toc77843591"/>
      <w:r w:rsidRPr="000B46A6">
        <w:rPr>
          <w:rFonts w:asciiTheme="majorHAnsi" w:eastAsia="Times New Roman" w:hAnsiTheme="majorHAnsi" w:cstheme="majorHAnsi"/>
          <w:b/>
          <w:bCs/>
          <w:sz w:val="24"/>
          <w:szCs w:val="24"/>
        </w:rPr>
        <w:t>Data Collection</w:t>
      </w:r>
      <w:bookmarkEnd w:id="2"/>
    </w:p>
    <w:p w14:paraId="00000017" w14:textId="1F3E112F"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t>The dataset is composed of Article IV reports spanning December 2015 to March 25th, 2021</w:t>
      </w:r>
      <w:r w:rsidR="003A7EC6" w:rsidRPr="000B46A6">
        <w:rPr>
          <w:rFonts w:asciiTheme="majorHAnsi" w:eastAsia="Times New Roman" w:hAnsiTheme="majorHAnsi" w:cstheme="majorHAnsi"/>
        </w:rPr>
        <w:t>,</w:t>
      </w:r>
      <w:r w:rsidRPr="000B46A6">
        <w:rPr>
          <w:rFonts w:asciiTheme="majorHAnsi" w:eastAsia="Times New Roman" w:hAnsiTheme="majorHAnsi" w:cstheme="majorHAnsi"/>
        </w:rPr>
        <w:t xml:space="preserve"> that include policy recommendations with respect to fossil fuel infrastructure, exports, and privatization of power companies. To ascertain the dataset, the entire population of Article IV reports published in this timeframe (595 total) were reviewed at each instance of the terms listed below. </w:t>
      </w:r>
      <w:r w:rsidR="003A7EC6" w:rsidRPr="000B46A6">
        <w:rPr>
          <w:rFonts w:asciiTheme="majorHAnsi" w:eastAsia="Times New Roman" w:hAnsiTheme="majorHAnsi" w:cstheme="majorHAnsi"/>
        </w:rPr>
        <w:t>To</w:t>
      </w:r>
      <w:r w:rsidRPr="000B46A6">
        <w:rPr>
          <w:rFonts w:asciiTheme="majorHAnsi" w:eastAsia="Times New Roman" w:hAnsiTheme="majorHAnsi" w:cstheme="majorHAnsi"/>
        </w:rPr>
        <w:t xml:space="preserve"> accommodate differences in the spelling of keywords across UK/US English, singular/plural, tenses, and other possible variations of keywords, all possible permutations of the search terms were observed, either by the inclusion of additional keywords searches, or by use of </w:t>
      </w:r>
      <w:proofErr w:type="spellStart"/>
      <w:r w:rsidRPr="000B46A6">
        <w:rPr>
          <w:rFonts w:asciiTheme="majorHAnsi" w:eastAsia="Times New Roman" w:hAnsiTheme="majorHAnsi" w:cstheme="majorHAnsi"/>
        </w:rPr>
        <w:t>boolean</w:t>
      </w:r>
      <w:proofErr w:type="spellEnd"/>
      <w:r w:rsidRPr="000B46A6">
        <w:rPr>
          <w:rFonts w:asciiTheme="majorHAnsi" w:eastAsia="Times New Roman" w:hAnsiTheme="majorHAnsi" w:cstheme="majorHAnsi"/>
        </w:rPr>
        <w:t xml:space="preserve"> operators. For example, a search for “subsidy” includes the common variations of the word, including “subsidize”, “</w:t>
      </w:r>
      <w:proofErr w:type="spellStart"/>
      <w:r w:rsidRPr="000B46A6">
        <w:rPr>
          <w:rFonts w:asciiTheme="majorHAnsi" w:eastAsia="Times New Roman" w:hAnsiTheme="majorHAnsi" w:cstheme="majorHAnsi"/>
        </w:rPr>
        <w:t>subsidise</w:t>
      </w:r>
      <w:proofErr w:type="spellEnd"/>
      <w:r w:rsidRPr="000B46A6">
        <w:rPr>
          <w:rFonts w:asciiTheme="majorHAnsi" w:eastAsia="Times New Roman" w:hAnsiTheme="majorHAnsi" w:cstheme="majorHAnsi"/>
        </w:rPr>
        <w:t>”, “subsidized” “</w:t>
      </w:r>
      <w:proofErr w:type="spellStart"/>
      <w:r w:rsidRPr="000B46A6">
        <w:rPr>
          <w:rFonts w:asciiTheme="majorHAnsi" w:eastAsia="Times New Roman" w:hAnsiTheme="majorHAnsi" w:cstheme="majorHAnsi"/>
        </w:rPr>
        <w:t>subsidised</w:t>
      </w:r>
      <w:proofErr w:type="spellEnd"/>
      <w:r w:rsidRPr="000B46A6">
        <w:rPr>
          <w:rFonts w:asciiTheme="majorHAnsi" w:eastAsia="Times New Roman" w:hAnsiTheme="majorHAnsi" w:cstheme="majorHAnsi"/>
        </w:rPr>
        <w:t>” or “subsidies”.</w:t>
      </w:r>
    </w:p>
    <w:p w14:paraId="00000018" w14:textId="77777777" w:rsidR="00BA21E4" w:rsidRPr="000B46A6" w:rsidRDefault="00BA21E4">
      <w:pPr>
        <w:ind w:left="720"/>
        <w:rPr>
          <w:rFonts w:asciiTheme="majorHAnsi" w:eastAsia="Times New Roman" w:hAnsiTheme="majorHAnsi" w:cstheme="majorHAnsi"/>
        </w:rPr>
      </w:pPr>
    </w:p>
    <w:p w14:paraId="00000019" w14:textId="6862D68C"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t xml:space="preserve">Where a keyword was found to exist, the immediate context of the keyword was analyzed for any possible relevance to the policy advice in focus. Each observation therefore does not merely indicate the presence of any particular term or combination of terms </w:t>
      </w:r>
      <w:r w:rsidR="003A7EC6" w:rsidRPr="000B46A6">
        <w:rPr>
          <w:rFonts w:asciiTheme="majorHAnsi" w:eastAsia="Times New Roman" w:hAnsiTheme="majorHAnsi" w:cstheme="majorHAnsi"/>
        </w:rPr>
        <w:t>–</w:t>
      </w:r>
      <w:r w:rsidRPr="000B46A6">
        <w:rPr>
          <w:rFonts w:asciiTheme="majorHAnsi" w:eastAsia="Times New Roman" w:hAnsiTheme="majorHAnsi" w:cstheme="majorHAnsi"/>
        </w:rPr>
        <w:t xml:space="preserve"> indeed</w:t>
      </w:r>
      <w:r w:rsidR="003A7EC6" w:rsidRPr="000B46A6">
        <w:rPr>
          <w:rFonts w:asciiTheme="majorHAnsi" w:eastAsia="Times New Roman" w:hAnsiTheme="majorHAnsi" w:cstheme="majorHAnsi"/>
        </w:rPr>
        <w:t>,</w:t>
      </w:r>
      <w:r w:rsidRPr="000B46A6">
        <w:rPr>
          <w:rFonts w:asciiTheme="majorHAnsi" w:eastAsia="Times New Roman" w:hAnsiTheme="majorHAnsi" w:cstheme="majorHAnsi"/>
        </w:rPr>
        <w:t xml:space="preserve"> the terms below are extremely common and would not provide meaningful insights on their own. Rather, each observation indicates the verified presence of the particular policy advice in focus.</w:t>
      </w:r>
    </w:p>
    <w:p w14:paraId="0000001A" w14:textId="77777777" w:rsidR="00BA21E4" w:rsidRPr="000B46A6" w:rsidRDefault="00BA21E4">
      <w:pPr>
        <w:ind w:left="720"/>
        <w:rPr>
          <w:rFonts w:asciiTheme="majorHAnsi" w:eastAsia="Times New Roman" w:hAnsiTheme="majorHAnsi" w:cstheme="maj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BA21E4" w:rsidRPr="000B46A6" w14:paraId="1A659587" w14:textId="77777777">
        <w:tc>
          <w:tcPr>
            <w:tcW w:w="2265" w:type="dxa"/>
            <w:shd w:val="clear" w:color="auto" w:fill="auto"/>
            <w:tcMar>
              <w:top w:w="100" w:type="dxa"/>
              <w:left w:w="100" w:type="dxa"/>
              <w:bottom w:w="100" w:type="dxa"/>
              <w:right w:w="100" w:type="dxa"/>
            </w:tcMar>
          </w:tcPr>
          <w:p w14:paraId="0000001B" w14:textId="77777777" w:rsidR="00BA21E4" w:rsidRPr="000B46A6" w:rsidRDefault="00AF3044">
            <w:pPr>
              <w:widowControl w:val="0"/>
              <w:spacing w:line="240" w:lineRule="auto"/>
              <w:rPr>
                <w:rFonts w:asciiTheme="majorHAnsi" w:eastAsia="Times New Roman" w:hAnsiTheme="majorHAnsi" w:cstheme="majorHAnsi"/>
                <w:b/>
              </w:rPr>
            </w:pPr>
            <w:r w:rsidRPr="000B46A6">
              <w:rPr>
                <w:rFonts w:asciiTheme="majorHAnsi" w:eastAsia="Times New Roman" w:hAnsiTheme="majorHAnsi" w:cstheme="majorHAnsi"/>
                <w:b/>
              </w:rPr>
              <w:t>Variable</w:t>
            </w:r>
          </w:p>
        </w:tc>
        <w:tc>
          <w:tcPr>
            <w:tcW w:w="7095" w:type="dxa"/>
            <w:shd w:val="clear" w:color="auto" w:fill="auto"/>
            <w:tcMar>
              <w:top w:w="100" w:type="dxa"/>
              <w:left w:w="100" w:type="dxa"/>
              <w:bottom w:w="100" w:type="dxa"/>
              <w:right w:w="100" w:type="dxa"/>
            </w:tcMar>
          </w:tcPr>
          <w:p w14:paraId="0000001C" w14:textId="77777777" w:rsidR="00BA21E4" w:rsidRPr="000B46A6" w:rsidRDefault="00AF3044">
            <w:pPr>
              <w:widowControl w:val="0"/>
              <w:spacing w:line="240" w:lineRule="auto"/>
              <w:rPr>
                <w:rFonts w:asciiTheme="majorHAnsi" w:eastAsia="Times New Roman" w:hAnsiTheme="majorHAnsi" w:cstheme="majorHAnsi"/>
                <w:b/>
              </w:rPr>
            </w:pPr>
            <w:r w:rsidRPr="000B46A6">
              <w:rPr>
                <w:rFonts w:asciiTheme="majorHAnsi" w:eastAsia="Times New Roman" w:hAnsiTheme="majorHAnsi" w:cstheme="majorHAnsi"/>
                <w:b/>
              </w:rPr>
              <w:t>Keyword Search Terms</w:t>
            </w:r>
          </w:p>
        </w:tc>
      </w:tr>
      <w:tr w:rsidR="00BA21E4" w:rsidRPr="000B46A6" w14:paraId="46262925" w14:textId="77777777">
        <w:tc>
          <w:tcPr>
            <w:tcW w:w="2265" w:type="dxa"/>
            <w:shd w:val="clear" w:color="auto" w:fill="auto"/>
            <w:tcMar>
              <w:top w:w="100" w:type="dxa"/>
              <w:left w:w="100" w:type="dxa"/>
              <w:bottom w:w="100" w:type="dxa"/>
              <w:right w:w="100" w:type="dxa"/>
            </w:tcMar>
          </w:tcPr>
          <w:p w14:paraId="0000001D" w14:textId="77777777" w:rsidR="00BA21E4" w:rsidRPr="000B46A6" w:rsidRDefault="00AF3044">
            <w:pPr>
              <w:widowControl w:val="0"/>
              <w:spacing w:line="240" w:lineRule="auto"/>
              <w:rPr>
                <w:rFonts w:asciiTheme="majorHAnsi" w:eastAsia="Times New Roman" w:hAnsiTheme="majorHAnsi" w:cstheme="majorHAnsi"/>
              </w:rPr>
            </w:pPr>
            <w:proofErr w:type="spellStart"/>
            <w:r w:rsidRPr="000B46A6">
              <w:rPr>
                <w:rFonts w:asciiTheme="majorHAnsi" w:eastAsia="Times New Roman" w:hAnsiTheme="majorHAnsi" w:cstheme="majorHAnsi"/>
              </w:rPr>
              <w:t>Dev_Infra_FF</w:t>
            </w:r>
            <w:proofErr w:type="spellEnd"/>
          </w:p>
        </w:tc>
        <w:tc>
          <w:tcPr>
            <w:tcW w:w="7095" w:type="dxa"/>
            <w:shd w:val="clear" w:color="auto" w:fill="auto"/>
            <w:tcMar>
              <w:top w:w="100" w:type="dxa"/>
              <w:left w:w="100" w:type="dxa"/>
              <w:bottom w:w="100" w:type="dxa"/>
              <w:right w:w="100" w:type="dxa"/>
            </w:tcMar>
          </w:tcPr>
          <w:p w14:paraId="0000001E" w14:textId="77777777" w:rsidR="00BA21E4" w:rsidRPr="000B46A6" w:rsidRDefault="00AF3044">
            <w:pPr>
              <w:widowControl w:val="0"/>
              <w:spacing w:line="240" w:lineRule="auto"/>
              <w:rPr>
                <w:rFonts w:asciiTheme="majorHAnsi" w:eastAsia="Times New Roman" w:hAnsiTheme="majorHAnsi" w:cstheme="majorHAnsi"/>
              </w:rPr>
            </w:pPr>
            <w:r w:rsidRPr="000B46A6">
              <w:rPr>
                <w:rFonts w:asciiTheme="majorHAnsi" w:eastAsia="Times New Roman" w:hAnsiTheme="majorHAnsi" w:cstheme="majorHAnsi"/>
              </w:rPr>
              <w:t>Energy infrastructure, power infrastructure, gas infrastructure, power plant, generator, natural gas, methane, LNG, LPG, refinery, petrochemical, coal, hydrocarbon, ethane, gas production, oil production, pipeline, crude, gas, fuel, oil, energy, power</w:t>
            </w:r>
          </w:p>
        </w:tc>
      </w:tr>
      <w:tr w:rsidR="00BA21E4" w:rsidRPr="000B46A6" w14:paraId="410546C2" w14:textId="77777777">
        <w:tc>
          <w:tcPr>
            <w:tcW w:w="2265" w:type="dxa"/>
            <w:shd w:val="clear" w:color="auto" w:fill="auto"/>
            <w:tcMar>
              <w:top w:w="100" w:type="dxa"/>
              <w:left w:w="100" w:type="dxa"/>
              <w:bottom w:w="100" w:type="dxa"/>
              <w:right w:w="100" w:type="dxa"/>
            </w:tcMar>
          </w:tcPr>
          <w:p w14:paraId="0000001F" w14:textId="77777777" w:rsidR="00BA21E4" w:rsidRPr="000B46A6" w:rsidRDefault="00AF3044">
            <w:pPr>
              <w:widowControl w:val="0"/>
              <w:spacing w:line="240" w:lineRule="auto"/>
              <w:rPr>
                <w:rFonts w:asciiTheme="majorHAnsi" w:eastAsia="Times New Roman" w:hAnsiTheme="majorHAnsi" w:cstheme="majorHAnsi"/>
              </w:rPr>
            </w:pPr>
            <w:proofErr w:type="spellStart"/>
            <w:r w:rsidRPr="000B46A6">
              <w:rPr>
                <w:rFonts w:asciiTheme="majorHAnsi" w:eastAsia="Times New Roman" w:hAnsiTheme="majorHAnsi" w:cstheme="majorHAnsi"/>
              </w:rPr>
              <w:t>Privatize_SOE_FF</w:t>
            </w:r>
            <w:proofErr w:type="spellEnd"/>
          </w:p>
        </w:tc>
        <w:tc>
          <w:tcPr>
            <w:tcW w:w="7095" w:type="dxa"/>
            <w:shd w:val="clear" w:color="auto" w:fill="auto"/>
            <w:tcMar>
              <w:top w:w="100" w:type="dxa"/>
              <w:left w:w="100" w:type="dxa"/>
              <w:bottom w:w="100" w:type="dxa"/>
              <w:right w:w="100" w:type="dxa"/>
            </w:tcMar>
          </w:tcPr>
          <w:p w14:paraId="00000020" w14:textId="77777777" w:rsidR="00BA21E4" w:rsidRPr="000B46A6" w:rsidRDefault="00AF3044">
            <w:pPr>
              <w:widowControl w:val="0"/>
              <w:spacing w:line="240" w:lineRule="auto"/>
              <w:rPr>
                <w:rFonts w:asciiTheme="majorHAnsi" w:eastAsia="Times New Roman" w:hAnsiTheme="majorHAnsi" w:cstheme="majorHAnsi"/>
              </w:rPr>
            </w:pPr>
            <w:r w:rsidRPr="000B46A6">
              <w:rPr>
                <w:rFonts w:asciiTheme="majorHAnsi" w:eastAsia="Times New Roman" w:hAnsiTheme="majorHAnsi" w:cstheme="majorHAnsi"/>
              </w:rPr>
              <w:t>Privatize, equitization, liquidation, divestment, electric, utility, utilities, privatization, SOE</w:t>
            </w:r>
          </w:p>
        </w:tc>
      </w:tr>
      <w:tr w:rsidR="00BA21E4" w:rsidRPr="000B46A6" w14:paraId="027863E9" w14:textId="77777777">
        <w:tc>
          <w:tcPr>
            <w:tcW w:w="2265" w:type="dxa"/>
            <w:shd w:val="clear" w:color="auto" w:fill="auto"/>
            <w:tcMar>
              <w:top w:w="100" w:type="dxa"/>
              <w:left w:w="100" w:type="dxa"/>
              <w:bottom w:w="100" w:type="dxa"/>
              <w:right w:w="100" w:type="dxa"/>
            </w:tcMar>
          </w:tcPr>
          <w:p w14:paraId="00000021" w14:textId="77777777" w:rsidR="00BA21E4" w:rsidRPr="000B46A6" w:rsidRDefault="00AF3044">
            <w:pPr>
              <w:widowControl w:val="0"/>
              <w:spacing w:line="240" w:lineRule="auto"/>
              <w:rPr>
                <w:rFonts w:asciiTheme="majorHAnsi" w:eastAsia="Times New Roman" w:hAnsiTheme="majorHAnsi" w:cstheme="majorHAnsi"/>
              </w:rPr>
            </w:pPr>
            <w:proofErr w:type="spellStart"/>
            <w:r w:rsidRPr="000B46A6">
              <w:rPr>
                <w:rFonts w:asciiTheme="majorHAnsi" w:eastAsia="Times New Roman" w:hAnsiTheme="majorHAnsi" w:cstheme="majorHAnsi"/>
              </w:rPr>
              <w:t>Reduce_Fuel_Sub</w:t>
            </w:r>
            <w:proofErr w:type="spellEnd"/>
          </w:p>
        </w:tc>
        <w:tc>
          <w:tcPr>
            <w:tcW w:w="7095" w:type="dxa"/>
            <w:shd w:val="clear" w:color="auto" w:fill="auto"/>
            <w:tcMar>
              <w:top w:w="100" w:type="dxa"/>
              <w:left w:w="100" w:type="dxa"/>
              <w:bottom w:w="100" w:type="dxa"/>
              <w:right w:w="100" w:type="dxa"/>
            </w:tcMar>
          </w:tcPr>
          <w:p w14:paraId="00000022" w14:textId="77777777" w:rsidR="00BA21E4" w:rsidRPr="000B46A6" w:rsidRDefault="00AF3044">
            <w:pPr>
              <w:widowControl w:val="0"/>
              <w:spacing w:line="240" w:lineRule="auto"/>
              <w:rPr>
                <w:rFonts w:asciiTheme="majorHAnsi" w:eastAsia="Times New Roman" w:hAnsiTheme="majorHAnsi" w:cstheme="majorHAnsi"/>
              </w:rPr>
            </w:pPr>
            <w:r w:rsidRPr="000B46A6">
              <w:rPr>
                <w:rFonts w:asciiTheme="majorHAnsi" w:eastAsia="Times New Roman" w:hAnsiTheme="majorHAnsi" w:cstheme="majorHAnsi"/>
              </w:rPr>
              <w:t xml:space="preserve">Subsidy, energy subsidy, fuel subsidy, subsidized energy, </w:t>
            </w:r>
            <w:proofErr w:type="spellStart"/>
            <w:r w:rsidRPr="000B46A6">
              <w:rPr>
                <w:rFonts w:asciiTheme="majorHAnsi" w:eastAsia="Times New Roman" w:hAnsiTheme="majorHAnsi" w:cstheme="majorHAnsi"/>
              </w:rPr>
              <w:t>subsidised</w:t>
            </w:r>
            <w:proofErr w:type="spellEnd"/>
            <w:r w:rsidRPr="000B46A6">
              <w:rPr>
                <w:rFonts w:asciiTheme="majorHAnsi" w:eastAsia="Times New Roman" w:hAnsiTheme="majorHAnsi" w:cstheme="majorHAnsi"/>
              </w:rPr>
              <w:t xml:space="preserve"> energy, subsidized fuel, </w:t>
            </w:r>
            <w:proofErr w:type="spellStart"/>
            <w:r w:rsidRPr="000B46A6">
              <w:rPr>
                <w:rFonts w:asciiTheme="majorHAnsi" w:eastAsia="Times New Roman" w:hAnsiTheme="majorHAnsi" w:cstheme="majorHAnsi"/>
              </w:rPr>
              <w:t>subsidised</w:t>
            </w:r>
            <w:proofErr w:type="spellEnd"/>
            <w:r w:rsidRPr="000B46A6">
              <w:rPr>
                <w:rFonts w:asciiTheme="majorHAnsi" w:eastAsia="Times New Roman" w:hAnsiTheme="majorHAnsi" w:cstheme="majorHAnsi"/>
              </w:rPr>
              <w:t xml:space="preserve"> fuel</w:t>
            </w:r>
          </w:p>
        </w:tc>
      </w:tr>
    </w:tbl>
    <w:p w14:paraId="00000023" w14:textId="77777777" w:rsidR="00BA21E4" w:rsidRPr="000B46A6" w:rsidRDefault="00BA21E4">
      <w:pPr>
        <w:rPr>
          <w:rFonts w:asciiTheme="majorHAnsi" w:eastAsia="Times New Roman" w:hAnsiTheme="majorHAnsi" w:cstheme="majorHAnsi"/>
        </w:rPr>
      </w:pPr>
    </w:p>
    <w:p w14:paraId="00000024" w14:textId="77777777" w:rsidR="00BA21E4" w:rsidRPr="000B46A6" w:rsidRDefault="00AF3044">
      <w:pPr>
        <w:pStyle w:val="Heading3"/>
        <w:rPr>
          <w:rFonts w:asciiTheme="majorHAnsi" w:eastAsia="Times New Roman" w:hAnsiTheme="majorHAnsi" w:cstheme="majorHAnsi"/>
          <w:b/>
          <w:bCs/>
          <w:sz w:val="22"/>
          <w:szCs w:val="22"/>
        </w:rPr>
      </w:pPr>
      <w:bookmarkStart w:id="3" w:name="_Toc77843592"/>
      <w:r w:rsidRPr="000B46A6">
        <w:rPr>
          <w:rFonts w:asciiTheme="majorHAnsi" w:eastAsia="Times New Roman" w:hAnsiTheme="majorHAnsi" w:cstheme="majorHAnsi"/>
          <w:b/>
          <w:bCs/>
          <w:sz w:val="22"/>
          <w:szCs w:val="22"/>
        </w:rPr>
        <w:t>Variable Definitions</w:t>
      </w:r>
      <w:bookmarkEnd w:id="3"/>
    </w:p>
    <w:p w14:paraId="00000025" w14:textId="77777777"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t xml:space="preserve">Each Article IV report included in the data sample meets </w:t>
      </w:r>
      <w:r w:rsidRPr="000B46A6">
        <w:rPr>
          <w:rFonts w:asciiTheme="majorHAnsi" w:eastAsia="Times New Roman" w:hAnsiTheme="majorHAnsi" w:cstheme="majorHAnsi"/>
          <w:i/>
        </w:rPr>
        <w:t xml:space="preserve">one or more </w:t>
      </w:r>
      <w:r w:rsidRPr="000B46A6">
        <w:rPr>
          <w:rFonts w:asciiTheme="majorHAnsi" w:eastAsia="Times New Roman" w:hAnsiTheme="majorHAnsi" w:cstheme="majorHAnsi"/>
        </w:rPr>
        <w:t>of the following criteria:</w:t>
      </w:r>
    </w:p>
    <w:p w14:paraId="00000026" w14:textId="77777777" w:rsidR="00BA21E4" w:rsidRPr="000B46A6" w:rsidRDefault="00BA21E4">
      <w:pPr>
        <w:spacing w:line="360" w:lineRule="auto"/>
        <w:ind w:left="720"/>
        <w:rPr>
          <w:rFonts w:asciiTheme="majorHAnsi" w:eastAsia="Times New Roman" w:hAnsiTheme="majorHAnsi" w:cstheme="majorHAnsi"/>
          <w:color w:val="333333"/>
          <w:highlight w:val="white"/>
        </w:rPr>
      </w:pPr>
    </w:p>
    <w:p w14:paraId="00000027" w14:textId="77777777" w:rsidR="00BA21E4" w:rsidRPr="000B46A6" w:rsidRDefault="00AF3044">
      <w:pPr>
        <w:numPr>
          <w:ilvl w:val="0"/>
          <w:numId w:val="1"/>
        </w:numPr>
        <w:rPr>
          <w:rFonts w:asciiTheme="majorHAnsi" w:eastAsia="Times New Roman" w:hAnsiTheme="majorHAnsi" w:cstheme="majorHAnsi"/>
        </w:rPr>
      </w:pPr>
      <w:r w:rsidRPr="000B46A6">
        <w:rPr>
          <w:rFonts w:asciiTheme="majorHAnsi" w:eastAsia="Times New Roman" w:hAnsiTheme="majorHAnsi" w:cstheme="majorHAnsi"/>
        </w:rPr>
        <w:lastRenderedPageBreak/>
        <w:t>The Article IV report advises or supports the development of fossil fuel infrastructure.</w:t>
      </w:r>
      <w:r w:rsidRPr="000B46A6">
        <w:rPr>
          <w:rFonts w:asciiTheme="majorHAnsi" w:eastAsia="Times New Roman" w:hAnsiTheme="majorHAnsi" w:cstheme="majorHAnsi"/>
          <w:vertAlign w:val="superscript"/>
        </w:rPr>
        <w:footnoteReference w:id="1"/>
      </w:r>
    </w:p>
    <w:p w14:paraId="00000028" w14:textId="77777777" w:rsidR="00BA21E4" w:rsidRPr="000B46A6" w:rsidRDefault="00AF3044">
      <w:pPr>
        <w:ind w:left="2880"/>
        <w:rPr>
          <w:rFonts w:asciiTheme="majorHAnsi" w:eastAsia="Times New Roman" w:hAnsiTheme="majorHAnsi" w:cstheme="majorHAnsi"/>
        </w:rPr>
      </w:pPr>
      <w:proofErr w:type="spellStart"/>
      <w:r w:rsidRPr="000B46A6">
        <w:rPr>
          <w:rFonts w:asciiTheme="majorHAnsi" w:eastAsia="Times New Roman" w:hAnsiTheme="majorHAnsi" w:cstheme="majorHAnsi"/>
          <w:i/>
        </w:rPr>
        <w:t>Dev_Infra_FF</w:t>
      </w:r>
      <w:proofErr w:type="spellEnd"/>
    </w:p>
    <w:p w14:paraId="00000029" w14:textId="77777777" w:rsidR="00BA21E4" w:rsidRPr="000B46A6" w:rsidRDefault="00AF3044">
      <w:pPr>
        <w:ind w:left="3600"/>
        <w:rPr>
          <w:rFonts w:asciiTheme="majorHAnsi" w:eastAsia="Times New Roman" w:hAnsiTheme="majorHAnsi" w:cstheme="majorHAnsi"/>
        </w:rPr>
      </w:pPr>
      <w:r w:rsidRPr="000B46A6">
        <w:rPr>
          <w:rFonts w:asciiTheme="majorHAnsi" w:eastAsia="Times New Roman" w:hAnsiTheme="majorHAnsi" w:cstheme="majorHAnsi"/>
        </w:rPr>
        <w:t>“no" = 0; "yes" =1</w:t>
      </w:r>
    </w:p>
    <w:p w14:paraId="0000002A" w14:textId="77777777" w:rsidR="00BA21E4" w:rsidRPr="000B46A6" w:rsidRDefault="00BA21E4">
      <w:pPr>
        <w:ind w:left="3600"/>
        <w:rPr>
          <w:rFonts w:asciiTheme="majorHAnsi" w:eastAsia="Times New Roman" w:hAnsiTheme="majorHAnsi" w:cstheme="majorHAnsi"/>
        </w:rPr>
      </w:pPr>
    </w:p>
    <w:p w14:paraId="0000002B" w14:textId="671B77E0" w:rsidR="00BA21E4" w:rsidRPr="000B46A6" w:rsidRDefault="00AF3044">
      <w:pPr>
        <w:numPr>
          <w:ilvl w:val="0"/>
          <w:numId w:val="1"/>
        </w:numPr>
        <w:rPr>
          <w:rFonts w:asciiTheme="majorHAnsi" w:hAnsiTheme="majorHAnsi" w:cstheme="majorHAnsi"/>
        </w:rPr>
      </w:pPr>
      <w:r w:rsidRPr="000B46A6">
        <w:rPr>
          <w:rFonts w:asciiTheme="majorHAnsi" w:eastAsia="Times New Roman" w:hAnsiTheme="majorHAnsi" w:cstheme="majorHAnsi"/>
        </w:rPr>
        <w:t>The Article IV report advises or otherwise supports</w:t>
      </w:r>
      <w:r w:rsidRPr="000B46A6">
        <w:rPr>
          <w:rFonts w:asciiTheme="majorHAnsi" w:eastAsia="Times New Roman" w:hAnsiTheme="majorHAnsi" w:cstheme="majorHAnsi"/>
          <w:b/>
        </w:rPr>
        <w:t xml:space="preserve"> </w:t>
      </w:r>
      <w:r w:rsidRPr="000B46A6">
        <w:rPr>
          <w:rFonts w:asciiTheme="majorHAnsi" w:eastAsia="Times New Roman" w:hAnsiTheme="majorHAnsi" w:cstheme="majorHAnsi"/>
        </w:rPr>
        <w:t>the privatization of established power or electric SOE utilities.</w:t>
      </w:r>
    </w:p>
    <w:p w14:paraId="0000002C" w14:textId="77777777" w:rsidR="00BA21E4" w:rsidRPr="000B46A6" w:rsidRDefault="00AF3044">
      <w:pPr>
        <w:ind w:left="2880"/>
        <w:rPr>
          <w:rFonts w:asciiTheme="majorHAnsi" w:eastAsia="Times New Roman" w:hAnsiTheme="majorHAnsi" w:cstheme="majorHAnsi"/>
        </w:rPr>
      </w:pPr>
      <w:proofErr w:type="spellStart"/>
      <w:r w:rsidRPr="000B46A6">
        <w:rPr>
          <w:rFonts w:asciiTheme="majorHAnsi" w:eastAsia="Times New Roman" w:hAnsiTheme="majorHAnsi" w:cstheme="majorHAnsi"/>
          <w:i/>
        </w:rPr>
        <w:t>Privatize_SOE_FF</w:t>
      </w:r>
      <w:proofErr w:type="spellEnd"/>
    </w:p>
    <w:p w14:paraId="0000002D" w14:textId="796280A4" w:rsidR="00BA21E4" w:rsidRDefault="00AF3044">
      <w:pPr>
        <w:ind w:left="3600"/>
        <w:rPr>
          <w:rFonts w:asciiTheme="majorHAnsi" w:eastAsia="Times New Roman" w:hAnsiTheme="majorHAnsi" w:cstheme="majorHAnsi"/>
        </w:rPr>
      </w:pPr>
      <w:r w:rsidRPr="000B46A6">
        <w:rPr>
          <w:rFonts w:asciiTheme="majorHAnsi" w:eastAsia="Times New Roman" w:hAnsiTheme="majorHAnsi" w:cstheme="majorHAnsi"/>
        </w:rPr>
        <w:t>“no" = 0; "yes" =1</w:t>
      </w:r>
    </w:p>
    <w:p w14:paraId="52EE1042" w14:textId="11F29769" w:rsidR="000B46A6" w:rsidRDefault="000B46A6">
      <w:pPr>
        <w:ind w:left="3600"/>
        <w:rPr>
          <w:rFonts w:asciiTheme="majorHAnsi" w:eastAsia="Times New Roman" w:hAnsiTheme="majorHAnsi" w:cstheme="majorHAnsi"/>
        </w:rPr>
      </w:pPr>
    </w:p>
    <w:p w14:paraId="22A74C0C" w14:textId="5833A28E" w:rsidR="000B46A6" w:rsidRPr="000B46A6" w:rsidRDefault="000B46A6">
      <w:pPr>
        <w:ind w:left="3600"/>
        <w:rPr>
          <w:rFonts w:asciiTheme="majorHAnsi" w:eastAsia="Times New Roman" w:hAnsiTheme="majorHAnsi" w:cstheme="majorHAnsi"/>
        </w:rPr>
      </w:pPr>
      <w:r>
        <w:rPr>
          <w:rFonts w:asciiTheme="majorHAnsi" w:eastAsia="Times New Roman" w:hAnsiTheme="majorHAnsi" w:cstheme="majorHAnsi"/>
        </w:rPr>
        <w:t>Within this, we then classified the 117 hits further by coding as either direct hits or indirect hits.</w:t>
      </w:r>
      <w:r w:rsidRPr="000B46A6">
        <w:rPr>
          <w:rFonts w:asciiTheme="majorHAnsi" w:eastAsia="Times New Roman" w:hAnsiTheme="majorHAnsi" w:cstheme="majorHAnsi"/>
          <w:vertAlign w:val="superscript"/>
        </w:rPr>
        <w:footnoteReference w:id="2"/>
      </w:r>
    </w:p>
    <w:p w14:paraId="0000002E" w14:textId="77777777" w:rsidR="00BA21E4" w:rsidRPr="000B46A6" w:rsidRDefault="00BA21E4">
      <w:pPr>
        <w:ind w:left="3600"/>
        <w:rPr>
          <w:rFonts w:asciiTheme="majorHAnsi" w:eastAsia="Times New Roman" w:hAnsiTheme="majorHAnsi" w:cstheme="majorHAnsi"/>
        </w:rPr>
      </w:pPr>
    </w:p>
    <w:p w14:paraId="0000002F" w14:textId="77777777" w:rsidR="00BA21E4" w:rsidRPr="000B46A6" w:rsidRDefault="00AF3044">
      <w:pPr>
        <w:numPr>
          <w:ilvl w:val="0"/>
          <w:numId w:val="1"/>
        </w:numPr>
        <w:rPr>
          <w:rFonts w:asciiTheme="majorHAnsi" w:eastAsia="Times New Roman" w:hAnsiTheme="majorHAnsi" w:cstheme="majorHAnsi"/>
        </w:rPr>
      </w:pPr>
      <w:r w:rsidRPr="000B46A6">
        <w:rPr>
          <w:rFonts w:asciiTheme="majorHAnsi" w:eastAsia="Times New Roman" w:hAnsiTheme="majorHAnsi" w:cstheme="majorHAnsi"/>
        </w:rPr>
        <w:t>The Article IV report explicitly or implicitly advises the reduction or elimination of energy subsidies.</w:t>
      </w:r>
    </w:p>
    <w:p w14:paraId="00000030" w14:textId="77777777" w:rsidR="00BA21E4" w:rsidRPr="000B46A6" w:rsidRDefault="00AF3044">
      <w:pPr>
        <w:ind w:left="2880"/>
        <w:rPr>
          <w:rFonts w:asciiTheme="majorHAnsi" w:eastAsia="Times New Roman" w:hAnsiTheme="majorHAnsi" w:cstheme="majorHAnsi"/>
        </w:rPr>
      </w:pPr>
      <w:proofErr w:type="spellStart"/>
      <w:r w:rsidRPr="000B46A6">
        <w:rPr>
          <w:rFonts w:asciiTheme="majorHAnsi" w:eastAsia="Times New Roman" w:hAnsiTheme="majorHAnsi" w:cstheme="majorHAnsi"/>
          <w:i/>
        </w:rPr>
        <w:t>Reduce_Fuel_Sub</w:t>
      </w:r>
      <w:proofErr w:type="spellEnd"/>
      <w:r w:rsidRPr="000B46A6">
        <w:rPr>
          <w:rFonts w:asciiTheme="majorHAnsi" w:eastAsia="Times New Roman" w:hAnsiTheme="majorHAnsi" w:cstheme="majorHAnsi"/>
        </w:rPr>
        <w:t>:</w:t>
      </w:r>
    </w:p>
    <w:p w14:paraId="00000031" w14:textId="77777777" w:rsidR="00BA21E4" w:rsidRPr="000B46A6" w:rsidRDefault="00AF3044">
      <w:pPr>
        <w:ind w:left="3600"/>
        <w:rPr>
          <w:rFonts w:asciiTheme="majorHAnsi" w:eastAsia="Times New Roman" w:hAnsiTheme="majorHAnsi" w:cstheme="majorHAnsi"/>
        </w:rPr>
      </w:pPr>
      <w:r w:rsidRPr="000B46A6">
        <w:rPr>
          <w:rFonts w:asciiTheme="majorHAnsi" w:eastAsia="Times New Roman" w:hAnsiTheme="majorHAnsi" w:cstheme="majorHAnsi"/>
        </w:rPr>
        <w:t>“no" = 0; "yes" =1</w:t>
      </w:r>
    </w:p>
    <w:p w14:paraId="00000032" w14:textId="77777777" w:rsidR="00BA21E4" w:rsidRPr="000B46A6" w:rsidRDefault="00BA21E4">
      <w:pPr>
        <w:ind w:left="2880"/>
        <w:rPr>
          <w:rFonts w:asciiTheme="majorHAnsi" w:eastAsia="Times New Roman" w:hAnsiTheme="majorHAnsi" w:cstheme="majorHAnsi"/>
        </w:rPr>
      </w:pPr>
    </w:p>
    <w:p w14:paraId="00000033" w14:textId="77777777" w:rsidR="00BA21E4" w:rsidRPr="000B46A6" w:rsidRDefault="00AF3044">
      <w:pPr>
        <w:ind w:left="720"/>
        <w:rPr>
          <w:rFonts w:asciiTheme="majorHAnsi" w:eastAsia="Times New Roman" w:hAnsiTheme="majorHAnsi" w:cstheme="majorHAnsi"/>
          <w:b/>
          <w:bCs/>
        </w:rPr>
      </w:pPr>
      <w:r w:rsidRPr="000B46A6">
        <w:rPr>
          <w:rFonts w:asciiTheme="majorHAnsi" w:eastAsia="Times New Roman" w:hAnsiTheme="majorHAnsi" w:cstheme="majorHAnsi"/>
          <w:b/>
          <w:bCs/>
        </w:rPr>
        <w:t>Other Definitions</w:t>
      </w:r>
    </w:p>
    <w:p w14:paraId="00000034" w14:textId="77777777" w:rsidR="00BA21E4" w:rsidRPr="000B46A6" w:rsidRDefault="00BA21E4">
      <w:pPr>
        <w:rPr>
          <w:rFonts w:asciiTheme="majorHAnsi" w:eastAsia="Times New Roman" w:hAnsiTheme="majorHAnsi" w:cstheme="majorHAnsi"/>
        </w:rPr>
      </w:pPr>
    </w:p>
    <w:p w14:paraId="00000035" w14:textId="77777777" w:rsidR="00BA21E4" w:rsidRPr="000B46A6" w:rsidRDefault="00AF3044">
      <w:pPr>
        <w:ind w:left="1440"/>
        <w:rPr>
          <w:rFonts w:asciiTheme="majorHAnsi" w:eastAsia="Times New Roman" w:hAnsiTheme="majorHAnsi" w:cstheme="majorHAnsi"/>
        </w:rPr>
      </w:pPr>
      <w:r w:rsidRPr="000B46A6">
        <w:rPr>
          <w:rFonts w:asciiTheme="majorHAnsi" w:eastAsia="Times New Roman" w:hAnsiTheme="majorHAnsi" w:cstheme="majorHAnsi"/>
          <w:i/>
        </w:rPr>
        <w:t>“Year”</w:t>
      </w:r>
      <w:r w:rsidRPr="000B46A6">
        <w:rPr>
          <w:rFonts w:asciiTheme="majorHAnsi" w:eastAsia="Times New Roman" w:hAnsiTheme="majorHAnsi" w:cstheme="majorHAnsi"/>
        </w:rPr>
        <w:t xml:space="preserve"> </w:t>
      </w:r>
    </w:p>
    <w:p w14:paraId="00000036" w14:textId="77777777" w:rsidR="00BA21E4" w:rsidRPr="000B46A6" w:rsidRDefault="00AF3044">
      <w:pPr>
        <w:ind w:left="2160"/>
        <w:rPr>
          <w:rFonts w:asciiTheme="majorHAnsi" w:eastAsia="Times New Roman" w:hAnsiTheme="majorHAnsi" w:cstheme="majorHAnsi"/>
        </w:rPr>
      </w:pPr>
      <w:r w:rsidRPr="000B46A6">
        <w:rPr>
          <w:rFonts w:asciiTheme="majorHAnsi" w:eastAsia="Times New Roman" w:hAnsiTheme="majorHAnsi" w:cstheme="majorHAnsi"/>
        </w:rPr>
        <w:t>specifies the year of the consultation listed in the Article IV Report’s title, not the year of the Report’s publication date.</w:t>
      </w:r>
    </w:p>
    <w:p w14:paraId="00000037" w14:textId="77777777" w:rsidR="00BA21E4" w:rsidRPr="000B46A6" w:rsidRDefault="00BA21E4">
      <w:pPr>
        <w:rPr>
          <w:rFonts w:asciiTheme="majorHAnsi" w:eastAsia="Times New Roman" w:hAnsiTheme="majorHAnsi" w:cstheme="majorHAnsi"/>
        </w:rPr>
      </w:pPr>
    </w:p>
    <w:p w14:paraId="00000038" w14:textId="77777777" w:rsidR="00BA21E4" w:rsidRPr="000B46A6" w:rsidRDefault="00AF3044">
      <w:pPr>
        <w:ind w:left="1440"/>
        <w:rPr>
          <w:rFonts w:asciiTheme="majorHAnsi" w:eastAsia="Times New Roman" w:hAnsiTheme="majorHAnsi" w:cstheme="majorHAnsi"/>
        </w:rPr>
      </w:pPr>
      <w:r w:rsidRPr="000B46A6">
        <w:rPr>
          <w:rFonts w:asciiTheme="majorHAnsi" w:eastAsia="Times New Roman" w:hAnsiTheme="majorHAnsi" w:cstheme="majorHAnsi"/>
          <w:i/>
        </w:rPr>
        <w:t>“Reference”</w:t>
      </w:r>
      <w:r w:rsidRPr="000B46A6">
        <w:rPr>
          <w:rFonts w:asciiTheme="majorHAnsi" w:eastAsia="Times New Roman" w:hAnsiTheme="majorHAnsi" w:cstheme="majorHAnsi"/>
        </w:rPr>
        <w:t xml:space="preserve"> </w:t>
      </w:r>
    </w:p>
    <w:p w14:paraId="00000039" w14:textId="77F67F28" w:rsidR="00BA21E4" w:rsidRPr="000B46A6" w:rsidRDefault="00AF3044">
      <w:pPr>
        <w:ind w:left="2160"/>
        <w:rPr>
          <w:rFonts w:asciiTheme="majorHAnsi" w:eastAsia="Times New Roman" w:hAnsiTheme="majorHAnsi" w:cstheme="majorHAnsi"/>
        </w:rPr>
      </w:pPr>
      <w:r w:rsidRPr="000B46A6">
        <w:rPr>
          <w:rFonts w:asciiTheme="majorHAnsi" w:eastAsia="Times New Roman" w:hAnsiTheme="majorHAnsi" w:cstheme="majorHAnsi"/>
        </w:rPr>
        <w:t>specifies the Article IV Report title as listed on the Fund’s website, along with the specific URL where the report can be accessed on the Fund’s website</w:t>
      </w:r>
      <w:r w:rsidR="003A7EC6" w:rsidRPr="000B46A6">
        <w:rPr>
          <w:rFonts w:asciiTheme="majorHAnsi" w:eastAsia="Times New Roman" w:hAnsiTheme="majorHAnsi" w:cstheme="majorHAnsi"/>
        </w:rPr>
        <w:t xml:space="preserve"> </w:t>
      </w:r>
      <w:r w:rsidRPr="000B46A6">
        <w:rPr>
          <w:rFonts w:asciiTheme="majorHAnsi" w:eastAsia="Times New Roman" w:hAnsiTheme="majorHAnsi" w:cstheme="majorHAnsi"/>
        </w:rPr>
        <w:t>(</w:t>
      </w:r>
      <w:hyperlink r:id="rId8" w:history="1">
        <w:r w:rsidR="003A7EC6" w:rsidRPr="000B46A6">
          <w:rPr>
            <w:rStyle w:val="Hyperlink"/>
            <w:rFonts w:asciiTheme="majorHAnsi" w:eastAsia="Times New Roman" w:hAnsiTheme="majorHAnsi" w:cstheme="majorHAnsi"/>
          </w:rPr>
          <w:t>https://imf.org/</w:t>
        </w:r>
      </w:hyperlink>
      <w:r w:rsidRPr="000B46A6">
        <w:rPr>
          <w:rFonts w:asciiTheme="majorHAnsi" w:eastAsia="Times New Roman" w:hAnsiTheme="majorHAnsi" w:cstheme="majorHAnsi"/>
        </w:rPr>
        <w:t>). Future access of these documents may require use of the Internet Archive’s “</w:t>
      </w:r>
      <w:proofErr w:type="spellStart"/>
      <w:r w:rsidRPr="000B46A6">
        <w:rPr>
          <w:rFonts w:asciiTheme="majorHAnsi" w:eastAsia="Times New Roman" w:hAnsiTheme="majorHAnsi" w:cstheme="majorHAnsi"/>
        </w:rPr>
        <w:t>Wayback</w:t>
      </w:r>
      <w:proofErr w:type="spellEnd"/>
      <w:r w:rsidRPr="000B46A6">
        <w:rPr>
          <w:rFonts w:asciiTheme="majorHAnsi" w:eastAsia="Times New Roman" w:hAnsiTheme="majorHAnsi" w:cstheme="majorHAnsi"/>
        </w:rPr>
        <w:t xml:space="preserve"> Machine” (</w:t>
      </w:r>
      <w:hyperlink r:id="rId9">
        <w:r w:rsidRPr="000B46A6">
          <w:rPr>
            <w:rFonts w:asciiTheme="majorHAnsi" w:eastAsia="Times New Roman" w:hAnsiTheme="majorHAnsi" w:cstheme="majorHAnsi"/>
            <w:color w:val="1155CC"/>
            <w:u w:val="single"/>
          </w:rPr>
          <w:t>https://web.archive.org</w:t>
        </w:r>
      </w:hyperlink>
      <w:r w:rsidRPr="000B46A6">
        <w:rPr>
          <w:rFonts w:asciiTheme="majorHAnsi" w:eastAsia="Times New Roman" w:hAnsiTheme="majorHAnsi" w:cstheme="majorHAnsi"/>
        </w:rPr>
        <w:t xml:space="preserve">/). </w:t>
      </w:r>
    </w:p>
    <w:p w14:paraId="0000003A" w14:textId="77777777" w:rsidR="00BA21E4" w:rsidRPr="000B46A6" w:rsidRDefault="00AF3044">
      <w:pPr>
        <w:pStyle w:val="Heading3"/>
        <w:rPr>
          <w:rFonts w:asciiTheme="majorHAnsi" w:eastAsia="Times New Roman" w:hAnsiTheme="majorHAnsi" w:cstheme="majorHAnsi"/>
          <w:b/>
          <w:bCs/>
          <w:sz w:val="22"/>
          <w:szCs w:val="22"/>
        </w:rPr>
      </w:pPr>
      <w:bookmarkStart w:id="4" w:name="_Toc77843593"/>
      <w:r w:rsidRPr="000B46A6">
        <w:rPr>
          <w:rFonts w:asciiTheme="majorHAnsi" w:eastAsia="Times New Roman" w:hAnsiTheme="majorHAnsi" w:cstheme="majorHAnsi"/>
          <w:b/>
          <w:bCs/>
          <w:sz w:val="22"/>
          <w:szCs w:val="22"/>
        </w:rPr>
        <w:t>Notes on Replication</w:t>
      </w:r>
      <w:bookmarkEnd w:id="4"/>
    </w:p>
    <w:p w14:paraId="0000003B" w14:textId="77777777"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t>To execute the keyword search across hundreds of reports, we utilized the Article IV Scanner</w:t>
      </w:r>
      <w:r w:rsidRPr="000B46A6">
        <w:rPr>
          <w:rFonts w:asciiTheme="majorHAnsi" w:eastAsia="Times New Roman" w:hAnsiTheme="majorHAnsi" w:cstheme="majorHAnsi"/>
          <w:vertAlign w:val="superscript"/>
        </w:rPr>
        <w:footnoteReference w:id="3"/>
      </w:r>
      <w:r w:rsidRPr="000B46A6">
        <w:rPr>
          <w:rFonts w:asciiTheme="majorHAnsi" w:eastAsia="Times New Roman" w:hAnsiTheme="majorHAnsi" w:cstheme="majorHAnsi"/>
        </w:rPr>
        <w:t>, an open-access search utility hosted by the IMF Monitor, an online research resource supported by the Economic &amp; Social Research, the Institute for New Economic Thinking, and the University of Cambridge.</w:t>
      </w:r>
    </w:p>
    <w:p w14:paraId="0000003C" w14:textId="77777777" w:rsidR="00BA21E4" w:rsidRPr="000B46A6" w:rsidRDefault="00BA21E4">
      <w:pPr>
        <w:ind w:left="720"/>
        <w:rPr>
          <w:rFonts w:asciiTheme="majorHAnsi" w:eastAsia="Times New Roman" w:hAnsiTheme="majorHAnsi" w:cstheme="majorHAnsi"/>
        </w:rPr>
      </w:pPr>
    </w:p>
    <w:p w14:paraId="0000003D" w14:textId="77777777"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lastRenderedPageBreak/>
        <w:t xml:space="preserve">To search and assess Article IV reports published after June 1st, 2019 (beyond the immediately available range of reports assessed by the Article IV Scanner at the time of writing) we utilized an open-source local file-indexing software, </w:t>
      </w:r>
      <w:hyperlink r:id="rId10">
        <w:proofErr w:type="spellStart"/>
        <w:r w:rsidRPr="000B46A6">
          <w:rPr>
            <w:rFonts w:asciiTheme="majorHAnsi" w:eastAsia="Times New Roman" w:hAnsiTheme="majorHAnsi" w:cstheme="majorHAnsi"/>
            <w:color w:val="1155CC"/>
            <w:u w:val="single"/>
          </w:rPr>
          <w:t>DocFetcher</w:t>
        </w:r>
        <w:proofErr w:type="spellEnd"/>
        <w:r w:rsidRPr="000B46A6">
          <w:rPr>
            <w:rFonts w:asciiTheme="majorHAnsi" w:eastAsia="Times New Roman" w:hAnsiTheme="majorHAnsi" w:cstheme="majorHAnsi"/>
            <w:color w:val="1155CC"/>
            <w:u w:val="single"/>
          </w:rPr>
          <w:t xml:space="preserve"> Pro</w:t>
        </w:r>
      </w:hyperlink>
      <w:r w:rsidRPr="000B46A6">
        <w:rPr>
          <w:rFonts w:asciiTheme="majorHAnsi" w:eastAsia="Times New Roman" w:hAnsiTheme="majorHAnsi" w:cstheme="majorHAnsi"/>
        </w:rPr>
        <w:t xml:space="preserve">. While downloading a series of Article IV reports from the IMF website is time-intensive, this method offers a rather expedient search process owed to a more versatile search engine query syntax built off of </w:t>
      </w:r>
      <w:hyperlink r:id="rId11">
        <w:r w:rsidRPr="000B46A6">
          <w:rPr>
            <w:rFonts w:asciiTheme="majorHAnsi" w:eastAsia="Times New Roman" w:hAnsiTheme="majorHAnsi" w:cstheme="majorHAnsi"/>
            <w:color w:val="1155CC"/>
            <w:u w:val="single"/>
          </w:rPr>
          <w:t>Apache Lucene.</w:t>
        </w:r>
      </w:hyperlink>
    </w:p>
    <w:p w14:paraId="0000003E" w14:textId="77777777" w:rsidR="00BA21E4" w:rsidRPr="000B46A6" w:rsidRDefault="00BA21E4">
      <w:pPr>
        <w:ind w:left="720"/>
        <w:rPr>
          <w:rFonts w:asciiTheme="majorHAnsi" w:eastAsia="Times New Roman" w:hAnsiTheme="majorHAnsi" w:cstheme="majorHAnsi"/>
        </w:rPr>
      </w:pPr>
    </w:p>
    <w:p w14:paraId="0000003F" w14:textId="77777777"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t>In the interest of fostering a more rigorous discourse on aggregate analyses of the Fund’s publications, public access would be best served by a central repository of publications for mass-download. Such a repository could encourage more sophisticated analyses, especially with the applications of newer machine learning methods such as natural language processing.</w:t>
      </w:r>
    </w:p>
    <w:p w14:paraId="00000040" w14:textId="77777777" w:rsidR="00BA21E4" w:rsidRPr="000B46A6" w:rsidRDefault="00AF3044">
      <w:pPr>
        <w:pStyle w:val="Heading3"/>
        <w:rPr>
          <w:rFonts w:asciiTheme="majorHAnsi" w:eastAsia="Times New Roman" w:hAnsiTheme="majorHAnsi" w:cstheme="majorHAnsi"/>
          <w:b/>
          <w:bCs/>
          <w:sz w:val="22"/>
          <w:szCs w:val="22"/>
        </w:rPr>
      </w:pPr>
      <w:bookmarkStart w:id="5" w:name="_Toc77843594"/>
      <w:r w:rsidRPr="000B46A6">
        <w:rPr>
          <w:rFonts w:asciiTheme="majorHAnsi" w:eastAsia="Times New Roman" w:hAnsiTheme="majorHAnsi" w:cstheme="majorHAnsi"/>
          <w:b/>
          <w:bCs/>
          <w:sz w:val="22"/>
          <w:szCs w:val="22"/>
        </w:rPr>
        <w:t>Case studies: Indonesia &amp; Mozambique</w:t>
      </w:r>
      <w:bookmarkEnd w:id="5"/>
    </w:p>
    <w:p w14:paraId="00000041" w14:textId="77777777" w:rsidR="00BA21E4" w:rsidRPr="000B46A6" w:rsidRDefault="00AF3044">
      <w:pPr>
        <w:ind w:left="720"/>
        <w:rPr>
          <w:rFonts w:asciiTheme="majorHAnsi" w:eastAsia="Times New Roman" w:hAnsiTheme="majorHAnsi" w:cstheme="majorHAnsi"/>
        </w:rPr>
      </w:pPr>
      <w:r w:rsidRPr="000B46A6">
        <w:rPr>
          <w:rFonts w:asciiTheme="majorHAnsi" w:eastAsia="Times New Roman" w:hAnsiTheme="majorHAnsi" w:cstheme="majorHAnsi"/>
        </w:rPr>
        <w:t>The Article IV Reports referenced in the country-level analysis are listed and linked below:</w:t>
      </w:r>
    </w:p>
    <w:p w14:paraId="00000042" w14:textId="77777777" w:rsidR="00BA21E4" w:rsidRPr="000B46A6" w:rsidRDefault="00AF3044">
      <w:pPr>
        <w:pStyle w:val="Heading4"/>
        <w:ind w:left="720"/>
        <w:rPr>
          <w:rFonts w:asciiTheme="majorHAnsi" w:eastAsia="Times New Roman" w:hAnsiTheme="majorHAnsi" w:cstheme="majorHAnsi"/>
          <w:b/>
          <w:bCs/>
          <w:sz w:val="22"/>
          <w:szCs w:val="22"/>
        </w:rPr>
      </w:pPr>
      <w:bookmarkStart w:id="6" w:name="_Toc77843595"/>
      <w:r w:rsidRPr="000B46A6">
        <w:rPr>
          <w:rFonts w:asciiTheme="majorHAnsi" w:eastAsia="Times New Roman" w:hAnsiTheme="majorHAnsi" w:cstheme="majorHAnsi"/>
          <w:b/>
          <w:bCs/>
          <w:sz w:val="22"/>
          <w:szCs w:val="22"/>
        </w:rPr>
        <w:t>Indonesia</w:t>
      </w:r>
      <w:bookmarkEnd w:id="6"/>
    </w:p>
    <w:p w14:paraId="00000043" w14:textId="5619AE9A" w:rsidR="00BA21E4" w:rsidRPr="000B46A6" w:rsidRDefault="00AD7FA7">
      <w:pPr>
        <w:ind w:left="2160" w:hanging="720"/>
        <w:rPr>
          <w:rFonts w:asciiTheme="majorHAnsi" w:eastAsia="Times New Roman" w:hAnsiTheme="majorHAnsi" w:cstheme="majorHAnsi"/>
        </w:rPr>
      </w:pPr>
      <w:hyperlink r:id="rId12">
        <w:r w:rsidR="00AF3044" w:rsidRPr="000B46A6">
          <w:rPr>
            <w:rFonts w:asciiTheme="majorHAnsi" w:eastAsia="Times New Roman" w:hAnsiTheme="majorHAnsi" w:cstheme="majorHAnsi"/>
            <w:color w:val="3979A6"/>
            <w:highlight w:val="white"/>
          </w:rPr>
          <w:t>Indonesia: 2020 Article IV Consultation-Press Release; Staff Report; and Statement by the Executive Director for Indonesia</w:t>
        </w:r>
      </w:hyperlink>
    </w:p>
    <w:p w14:paraId="00000044" w14:textId="17A19484" w:rsidR="00BA21E4" w:rsidRPr="000B46A6" w:rsidRDefault="00AD7FA7">
      <w:pPr>
        <w:ind w:left="2160" w:hanging="720"/>
        <w:rPr>
          <w:rFonts w:asciiTheme="majorHAnsi" w:eastAsia="Times New Roman" w:hAnsiTheme="majorHAnsi" w:cstheme="majorHAnsi"/>
          <w:color w:val="3979A6"/>
          <w:highlight w:val="white"/>
        </w:rPr>
      </w:pPr>
      <w:hyperlink r:id="rId13">
        <w:r w:rsidR="00AF3044" w:rsidRPr="000B46A6">
          <w:rPr>
            <w:rFonts w:asciiTheme="majorHAnsi" w:eastAsia="Times New Roman" w:hAnsiTheme="majorHAnsi" w:cstheme="majorHAnsi"/>
            <w:color w:val="3979A6"/>
            <w:highlight w:val="white"/>
          </w:rPr>
          <w:t>Indonesia: 2019 Article IV Consultation-Press Release; Staff Report; and Statement by the Executive Director for Indonesia</w:t>
        </w:r>
      </w:hyperlink>
    </w:p>
    <w:p w14:paraId="00000045" w14:textId="2953E0D8" w:rsidR="00BA21E4" w:rsidRPr="000B46A6" w:rsidRDefault="00AD7FA7">
      <w:pPr>
        <w:ind w:left="2160" w:hanging="720"/>
        <w:rPr>
          <w:rFonts w:asciiTheme="majorHAnsi" w:eastAsia="Times New Roman" w:hAnsiTheme="majorHAnsi" w:cstheme="majorHAnsi"/>
          <w:color w:val="3979A6"/>
          <w:highlight w:val="white"/>
        </w:rPr>
      </w:pPr>
      <w:hyperlink r:id="rId14">
        <w:r w:rsidR="00AF3044" w:rsidRPr="000B46A6">
          <w:rPr>
            <w:rFonts w:asciiTheme="majorHAnsi" w:eastAsia="Times New Roman" w:hAnsiTheme="majorHAnsi" w:cstheme="majorHAnsi"/>
            <w:color w:val="3979A6"/>
            <w:highlight w:val="white"/>
          </w:rPr>
          <w:t>Indonesia: 2017 Article IV Consultation-Press Release; Staff Report; and Statement by the Executive Director for Indonesia</w:t>
        </w:r>
      </w:hyperlink>
    </w:p>
    <w:p w14:paraId="00000046" w14:textId="3A05EC50" w:rsidR="00BA21E4" w:rsidRPr="000B46A6" w:rsidRDefault="00AD7FA7">
      <w:pPr>
        <w:ind w:left="2160" w:hanging="720"/>
        <w:rPr>
          <w:rFonts w:asciiTheme="majorHAnsi" w:eastAsia="Times New Roman" w:hAnsiTheme="majorHAnsi" w:cstheme="majorHAnsi"/>
          <w:color w:val="3979A6"/>
          <w:highlight w:val="white"/>
        </w:rPr>
      </w:pPr>
      <w:hyperlink r:id="rId15">
        <w:r w:rsidR="00AF3044" w:rsidRPr="000B46A6">
          <w:rPr>
            <w:rFonts w:asciiTheme="majorHAnsi" w:eastAsia="Times New Roman" w:hAnsiTheme="majorHAnsi" w:cstheme="majorHAnsi"/>
            <w:color w:val="3979A6"/>
            <w:highlight w:val="white"/>
          </w:rPr>
          <w:t>Indonesia: 2016 Article IV Consultation-Press Release; Staff Report; and Statement by the Executive Director for Indonesia</w:t>
        </w:r>
      </w:hyperlink>
    </w:p>
    <w:p w14:paraId="00000047" w14:textId="405252D5" w:rsidR="00BA21E4" w:rsidRPr="000B46A6" w:rsidRDefault="00AD7FA7">
      <w:pPr>
        <w:ind w:left="2160" w:hanging="720"/>
        <w:rPr>
          <w:rFonts w:asciiTheme="majorHAnsi" w:eastAsia="Times New Roman" w:hAnsiTheme="majorHAnsi" w:cstheme="majorHAnsi"/>
          <w:color w:val="3979A6"/>
          <w:highlight w:val="white"/>
        </w:rPr>
      </w:pPr>
      <w:hyperlink r:id="rId16">
        <w:r w:rsidR="00AF3044" w:rsidRPr="000B46A6">
          <w:rPr>
            <w:rFonts w:asciiTheme="majorHAnsi" w:eastAsia="Times New Roman" w:hAnsiTheme="majorHAnsi" w:cstheme="majorHAnsi"/>
            <w:color w:val="3979A6"/>
            <w:highlight w:val="white"/>
          </w:rPr>
          <w:t>Indonesia: 2015 Article IV Consultation-Press Release; Staff Report; and Statement by the Executive Director for Indonesia</w:t>
        </w:r>
      </w:hyperlink>
    </w:p>
    <w:p w14:paraId="00000048" w14:textId="77777777" w:rsidR="00BA21E4" w:rsidRPr="000B46A6" w:rsidRDefault="00BA21E4">
      <w:pPr>
        <w:ind w:left="2160" w:hanging="720"/>
        <w:rPr>
          <w:rFonts w:asciiTheme="majorHAnsi" w:eastAsia="Times New Roman" w:hAnsiTheme="majorHAnsi" w:cstheme="majorHAnsi"/>
        </w:rPr>
      </w:pPr>
    </w:p>
    <w:p w14:paraId="00000049" w14:textId="77777777" w:rsidR="00BA21E4" w:rsidRPr="000B46A6" w:rsidRDefault="00AF3044">
      <w:pPr>
        <w:pStyle w:val="Heading4"/>
        <w:ind w:left="720"/>
        <w:rPr>
          <w:rFonts w:asciiTheme="majorHAnsi" w:eastAsia="Times New Roman" w:hAnsiTheme="majorHAnsi" w:cstheme="majorHAnsi"/>
          <w:b/>
          <w:bCs/>
          <w:sz w:val="22"/>
          <w:szCs w:val="22"/>
        </w:rPr>
      </w:pPr>
      <w:bookmarkStart w:id="7" w:name="_Toc77843596"/>
      <w:r w:rsidRPr="000B46A6">
        <w:rPr>
          <w:rFonts w:asciiTheme="majorHAnsi" w:eastAsia="Times New Roman" w:hAnsiTheme="majorHAnsi" w:cstheme="majorHAnsi"/>
          <w:b/>
          <w:bCs/>
          <w:sz w:val="22"/>
          <w:szCs w:val="22"/>
        </w:rPr>
        <w:t>Mozambique</w:t>
      </w:r>
      <w:bookmarkEnd w:id="7"/>
    </w:p>
    <w:p w14:paraId="0000004A" w14:textId="2E553D19" w:rsidR="00BA21E4" w:rsidRPr="000B46A6" w:rsidRDefault="00AD7FA7">
      <w:pPr>
        <w:ind w:left="2160" w:hanging="720"/>
        <w:rPr>
          <w:rFonts w:asciiTheme="majorHAnsi" w:eastAsia="Times New Roman" w:hAnsiTheme="majorHAnsi" w:cstheme="majorHAnsi"/>
        </w:rPr>
      </w:pPr>
      <w:hyperlink r:id="rId17">
        <w:r w:rsidR="00AF3044" w:rsidRPr="000B46A6">
          <w:rPr>
            <w:rFonts w:asciiTheme="majorHAnsi" w:eastAsia="Times New Roman" w:hAnsiTheme="majorHAnsi" w:cstheme="majorHAnsi"/>
            <w:color w:val="3979A6"/>
            <w:highlight w:val="white"/>
          </w:rPr>
          <w:t>Republic of Mozambique: 2019 Article IV Consultation-Press Release; Staff Report; and Statement by the Executive Director for the Republic of Mozambique</w:t>
        </w:r>
      </w:hyperlink>
    </w:p>
    <w:p w14:paraId="0000004B" w14:textId="467909E8" w:rsidR="00BA21E4" w:rsidRPr="000B46A6" w:rsidRDefault="00AD7FA7">
      <w:pPr>
        <w:ind w:left="2160" w:hanging="720"/>
        <w:rPr>
          <w:rFonts w:asciiTheme="majorHAnsi" w:eastAsia="Times New Roman" w:hAnsiTheme="majorHAnsi" w:cstheme="majorHAnsi"/>
          <w:color w:val="3979A6"/>
          <w:highlight w:val="white"/>
        </w:rPr>
      </w:pPr>
      <w:hyperlink r:id="rId18">
        <w:r w:rsidR="00AF3044" w:rsidRPr="000B46A6">
          <w:rPr>
            <w:rFonts w:asciiTheme="majorHAnsi" w:eastAsia="Times New Roman" w:hAnsiTheme="majorHAnsi" w:cstheme="majorHAnsi"/>
            <w:color w:val="3979A6"/>
            <w:highlight w:val="white"/>
          </w:rPr>
          <w:t>Republic of Mozambique: 2017 Article IV Consultation-Press Release; Staff Report; and Statement by the Executive Director for the Republic of Mozambique</w:t>
        </w:r>
      </w:hyperlink>
    </w:p>
    <w:p w14:paraId="6AB7B51A" w14:textId="2C7DE42C" w:rsidR="00A84D7C" w:rsidRPr="000B46A6" w:rsidRDefault="00AD7FA7" w:rsidP="00A84D7C">
      <w:pPr>
        <w:ind w:left="2160" w:hanging="720"/>
        <w:rPr>
          <w:rFonts w:asciiTheme="majorHAnsi" w:eastAsia="Times New Roman" w:hAnsiTheme="majorHAnsi" w:cstheme="majorHAnsi"/>
          <w:color w:val="3979A6"/>
        </w:rPr>
      </w:pPr>
      <w:hyperlink r:id="rId19">
        <w:r w:rsidR="00AF3044" w:rsidRPr="000B46A6">
          <w:rPr>
            <w:rFonts w:asciiTheme="majorHAnsi" w:eastAsia="Times New Roman" w:hAnsiTheme="majorHAnsi" w:cstheme="majorHAnsi"/>
            <w:color w:val="3979A6"/>
            <w:highlight w:val="white"/>
          </w:rPr>
          <w:t>Republic of Mozambique: Staff Report for the 2015 Article IV Consultation, Fifth Review Under the Policy Support Instrument, Request for Modification of Assessment Criteria, and Request for an 18-Month Arrangement Under the Standby Credit Facility-Press Release; Staff Report; and Statement by the Executive Director for Republic of Mozambique</w:t>
        </w:r>
      </w:hyperlink>
    </w:p>
    <w:p w14:paraId="2479ED11" w14:textId="77777777" w:rsidR="00A84D7C" w:rsidRPr="000B46A6" w:rsidRDefault="00A84D7C" w:rsidP="00A84D7C">
      <w:pPr>
        <w:ind w:left="2160" w:hanging="720"/>
        <w:rPr>
          <w:rFonts w:asciiTheme="majorHAnsi" w:eastAsia="Times New Roman" w:hAnsiTheme="majorHAnsi" w:cstheme="majorHAnsi"/>
          <w:color w:val="3979A6"/>
          <w:highlight w:val="white"/>
        </w:rPr>
      </w:pPr>
      <w:bookmarkStart w:id="8" w:name="_1972gm25lg5g" w:colFirst="0" w:colLast="0"/>
      <w:bookmarkEnd w:id="8"/>
      <w:r w:rsidRPr="000B46A6">
        <w:rPr>
          <w:rFonts w:asciiTheme="majorHAnsi" w:hAnsiTheme="majorHAnsi" w:cstheme="majorHAnsi"/>
          <w:color w:val="3979A6"/>
          <w:lang w:val="en-GB"/>
        </w:rPr>
        <w:t>Republic Of Mozambique</w:t>
      </w:r>
      <w:r w:rsidRPr="000B46A6">
        <w:rPr>
          <w:rFonts w:asciiTheme="majorHAnsi" w:eastAsia="Times New Roman" w:hAnsiTheme="majorHAnsi" w:cstheme="majorHAnsi"/>
          <w:color w:val="3979A6"/>
        </w:rPr>
        <w:t xml:space="preserve">: 2013 </w:t>
      </w:r>
      <w:r w:rsidRPr="000B46A6">
        <w:rPr>
          <w:rFonts w:asciiTheme="majorHAnsi" w:hAnsiTheme="majorHAnsi" w:cstheme="majorHAnsi"/>
          <w:color w:val="3979A6"/>
          <w:lang w:val="en-GB"/>
        </w:rPr>
        <w:t>Staff Report For The 2013 Article Iv Consultation, Sixth Review</w:t>
      </w:r>
      <w:r w:rsidRPr="000B46A6">
        <w:rPr>
          <w:rFonts w:asciiTheme="majorHAnsi" w:eastAsia="Times New Roman" w:hAnsiTheme="majorHAnsi" w:cstheme="majorHAnsi"/>
          <w:color w:val="3979A6"/>
        </w:rPr>
        <w:t xml:space="preserve"> </w:t>
      </w:r>
      <w:r w:rsidRPr="000B46A6">
        <w:rPr>
          <w:rFonts w:asciiTheme="majorHAnsi" w:hAnsiTheme="majorHAnsi" w:cstheme="majorHAnsi"/>
          <w:color w:val="3979A6"/>
          <w:lang w:val="en-GB"/>
        </w:rPr>
        <w:t>Under The Policy Support Instrument, Request For A Three-Year</w:t>
      </w:r>
      <w:r w:rsidRPr="000B46A6">
        <w:rPr>
          <w:rFonts w:asciiTheme="majorHAnsi" w:eastAsia="Times New Roman" w:hAnsiTheme="majorHAnsi" w:cstheme="majorHAnsi"/>
          <w:color w:val="3979A6"/>
        </w:rPr>
        <w:t xml:space="preserve"> </w:t>
      </w:r>
      <w:r w:rsidRPr="000B46A6">
        <w:rPr>
          <w:rFonts w:asciiTheme="majorHAnsi" w:hAnsiTheme="majorHAnsi" w:cstheme="majorHAnsi"/>
          <w:color w:val="3979A6"/>
          <w:lang w:val="en-GB"/>
        </w:rPr>
        <w:t>Policy Support Instrument And Cancellation Of Current Policy</w:t>
      </w:r>
      <w:r w:rsidRPr="000B46A6">
        <w:rPr>
          <w:rFonts w:asciiTheme="majorHAnsi" w:eastAsia="Times New Roman" w:hAnsiTheme="majorHAnsi" w:cstheme="majorHAnsi"/>
          <w:color w:val="3979A6"/>
        </w:rPr>
        <w:t xml:space="preserve"> </w:t>
      </w:r>
      <w:r w:rsidRPr="000B46A6">
        <w:rPr>
          <w:rFonts w:asciiTheme="majorHAnsi" w:hAnsiTheme="majorHAnsi" w:cstheme="majorHAnsi"/>
          <w:color w:val="3979A6"/>
          <w:lang w:val="en-GB"/>
        </w:rPr>
        <w:t>Support Instrument</w:t>
      </w:r>
    </w:p>
    <w:p w14:paraId="0000004D" w14:textId="1542E682" w:rsidR="00BA21E4" w:rsidRPr="000B46A6" w:rsidRDefault="00A84D7C">
      <w:pPr>
        <w:pStyle w:val="Heading3"/>
        <w:rPr>
          <w:rFonts w:asciiTheme="majorHAnsi" w:eastAsia="Times New Roman" w:hAnsiTheme="majorHAnsi" w:cstheme="majorHAnsi"/>
          <w:sz w:val="22"/>
          <w:szCs w:val="22"/>
        </w:rPr>
      </w:pPr>
      <w:r w:rsidRPr="000B46A6">
        <w:rPr>
          <w:rFonts w:asciiTheme="majorHAnsi" w:hAnsiTheme="majorHAnsi" w:cstheme="majorHAnsi"/>
          <w:sz w:val="22"/>
          <w:szCs w:val="22"/>
        </w:rPr>
        <w:br w:type="page"/>
      </w:r>
    </w:p>
    <w:p w14:paraId="0000004E" w14:textId="77777777" w:rsidR="00BA21E4" w:rsidRPr="000B46A6" w:rsidRDefault="00AF3044">
      <w:pPr>
        <w:pStyle w:val="Heading3"/>
        <w:rPr>
          <w:rFonts w:asciiTheme="majorHAnsi" w:eastAsia="Times New Roman" w:hAnsiTheme="majorHAnsi" w:cstheme="majorHAnsi"/>
          <w:sz w:val="22"/>
          <w:szCs w:val="22"/>
        </w:rPr>
      </w:pPr>
      <w:bookmarkStart w:id="9" w:name="_Toc77843597"/>
      <w:r w:rsidRPr="000B46A6">
        <w:rPr>
          <w:rFonts w:asciiTheme="majorHAnsi" w:eastAsia="Times New Roman" w:hAnsiTheme="majorHAnsi" w:cstheme="majorHAnsi"/>
          <w:sz w:val="22"/>
          <w:szCs w:val="22"/>
        </w:rPr>
        <w:lastRenderedPageBreak/>
        <w:t>Data Summary</w:t>
      </w:r>
      <w:bookmarkEnd w:id="9"/>
    </w:p>
    <w:p w14:paraId="0000004F" w14:textId="0F41AE4F" w:rsidR="00BA21E4" w:rsidRPr="000B46A6" w:rsidRDefault="00AF3044">
      <w:pPr>
        <w:rPr>
          <w:rFonts w:asciiTheme="majorHAnsi" w:eastAsia="Times New Roman" w:hAnsiTheme="majorHAnsi" w:cstheme="majorHAnsi"/>
        </w:rPr>
      </w:pPr>
      <w:r w:rsidRPr="000B46A6">
        <w:rPr>
          <w:rFonts w:asciiTheme="majorHAnsi" w:eastAsia="Times New Roman" w:hAnsiTheme="majorHAnsi" w:cstheme="majorHAnsi"/>
          <w:noProof/>
          <w:color w:val="444444"/>
          <w:highlight w:val="white"/>
        </w:rPr>
        <w:drawing>
          <wp:inline distT="114300" distB="114300" distL="114300" distR="114300" wp14:anchorId="23A8E5FD" wp14:editId="218BCE2A">
            <wp:extent cx="5943600" cy="76962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3600" cy="7696200"/>
                    </a:xfrm>
                    <a:prstGeom prst="rect">
                      <a:avLst/>
                    </a:prstGeom>
                    <a:ln/>
                  </pic:spPr>
                </pic:pic>
              </a:graphicData>
            </a:graphic>
          </wp:inline>
        </w:drawing>
      </w:r>
    </w:p>
    <w:p w14:paraId="00000050" w14:textId="77777777" w:rsidR="00BA21E4" w:rsidRDefault="00AF3044">
      <w:pPr>
        <w:rPr>
          <w:rFonts w:ascii="Times New Roman" w:eastAsia="Times New Roman" w:hAnsi="Times New Roman" w:cs="Times New Roman"/>
          <w:color w:val="444444"/>
          <w:sz w:val="18"/>
          <w:szCs w:val="18"/>
          <w:highlight w:val="white"/>
        </w:rPr>
      </w:pPr>
      <w:r w:rsidRPr="000B46A6">
        <w:rPr>
          <w:rFonts w:asciiTheme="majorHAnsi" w:eastAsia="Times New Roman" w:hAnsiTheme="majorHAnsi" w:cstheme="majorHAnsi"/>
          <w:noProof/>
          <w:color w:val="444444"/>
          <w:highlight w:val="white"/>
        </w:rPr>
        <w:lastRenderedPageBreak/>
        <w:drawing>
          <wp:inline distT="114300" distB="114300" distL="114300" distR="114300" wp14:anchorId="0B70DE07" wp14:editId="040271F0">
            <wp:extent cx="5943600" cy="76962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943600" cy="7696200"/>
                    </a:xfrm>
                    <a:prstGeom prst="rect">
                      <a:avLst/>
                    </a:prstGeom>
                    <a:ln/>
                  </pic:spPr>
                </pic:pic>
              </a:graphicData>
            </a:graphic>
          </wp:inline>
        </w:drawing>
      </w:r>
      <w:r w:rsidRPr="000B46A6">
        <w:rPr>
          <w:rFonts w:asciiTheme="majorHAnsi" w:eastAsia="Times New Roman" w:hAnsiTheme="majorHAnsi" w:cstheme="majorHAnsi"/>
          <w:noProof/>
          <w:color w:val="444444"/>
          <w:highlight w:val="white"/>
        </w:rPr>
        <w:lastRenderedPageBreak/>
        <w:drawing>
          <wp:inline distT="114300" distB="114300" distL="114300" distR="114300" wp14:anchorId="6CD9AAEC" wp14:editId="757F1C6A">
            <wp:extent cx="5943600" cy="76962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3600" cy="7696200"/>
                    </a:xfrm>
                    <a:prstGeom prst="rect">
                      <a:avLst/>
                    </a:prstGeom>
                    <a:ln/>
                  </pic:spPr>
                </pic:pic>
              </a:graphicData>
            </a:graphic>
          </wp:inline>
        </w:drawing>
      </w:r>
      <w:r w:rsidRPr="000B46A6">
        <w:rPr>
          <w:rFonts w:asciiTheme="majorHAnsi" w:eastAsia="Times New Roman" w:hAnsiTheme="majorHAnsi" w:cstheme="majorHAnsi"/>
          <w:noProof/>
          <w:color w:val="444444"/>
          <w:highlight w:val="white"/>
        </w:rPr>
        <w:lastRenderedPageBreak/>
        <w:drawing>
          <wp:inline distT="114300" distB="114300" distL="114300" distR="114300" wp14:anchorId="2871F1F0" wp14:editId="365B5F87">
            <wp:extent cx="5943600" cy="76962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43600" cy="7696200"/>
                    </a:xfrm>
                    <a:prstGeom prst="rect">
                      <a:avLst/>
                    </a:prstGeom>
                    <a:ln/>
                  </pic:spPr>
                </pic:pic>
              </a:graphicData>
            </a:graphic>
          </wp:inline>
        </w:drawing>
      </w:r>
      <w:r w:rsidRPr="000B46A6">
        <w:rPr>
          <w:rFonts w:asciiTheme="majorHAnsi" w:eastAsia="Times New Roman" w:hAnsiTheme="majorHAnsi" w:cstheme="majorHAnsi"/>
          <w:noProof/>
          <w:color w:val="444444"/>
          <w:highlight w:val="white"/>
        </w:rPr>
        <w:lastRenderedPageBreak/>
        <w:drawing>
          <wp:inline distT="114300" distB="114300" distL="114300" distR="114300" wp14:anchorId="6A6C81A0" wp14:editId="5FB5D12E">
            <wp:extent cx="5943600" cy="7696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3600" cy="7696200"/>
                    </a:xfrm>
                    <a:prstGeom prst="rect">
                      <a:avLst/>
                    </a:prstGeom>
                    <a:ln/>
                  </pic:spPr>
                </pic:pic>
              </a:graphicData>
            </a:graphic>
          </wp:inline>
        </w:drawing>
      </w:r>
      <w:r w:rsidRPr="000B46A6">
        <w:rPr>
          <w:rFonts w:asciiTheme="majorHAnsi" w:eastAsia="Times New Roman" w:hAnsiTheme="majorHAnsi" w:cstheme="majorHAnsi"/>
          <w:noProof/>
          <w:color w:val="444444"/>
          <w:highlight w:val="white"/>
        </w:rPr>
        <w:lastRenderedPageBreak/>
        <w:drawing>
          <wp:inline distT="114300" distB="114300" distL="114300" distR="114300" wp14:anchorId="5D26CDCA" wp14:editId="34B1B6CB">
            <wp:extent cx="5943600" cy="76962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5943600" cy="7696200"/>
                    </a:xfrm>
                    <a:prstGeom prst="rect">
                      <a:avLst/>
                    </a:prstGeom>
                    <a:ln/>
                  </pic:spPr>
                </pic:pic>
              </a:graphicData>
            </a:graphic>
          </wp:inline>
        </w:drawing>
      </w:r>
      <w:r>
        <w:rPr>
          <w:rFonts w:ascii="Times New Roman" w:eastAsia="Times New Roman" w:hAnsi="Times New Roman" w:cs="Times New Roman"/>
          <w:noProof/>
          <w:color w:val="444444"/>
          <w:sz w:val="18"/>
          <w:szCs w:val="18"/>
          <w:highlight w:val="white"/>
        </w:rPr>
        <w:lastRenderedPageBreak/>
        <w:drawing>
          <wp:inline distT="114300" distB="114300" distL="114300" distR="114300" wp14:anchorId="20BE5F9E" wp14:editId="4266EA05">
            <wp:extent cx="5943600" cy="76962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943600" cy="7696200"/>
                    </a:xfrm>
                    <a:prstGeom prst="rect">
                      <a:avLst/>
                    </a:prstGeom>
                    <a:ln/>
                  </pic:spPr>
                </pic:pic>
              </a:graphicData>
            </a:graphic>
          </wp:inline>
        </w:drawing>
      </w:r>
    </w:p>
    <w:sectPr w:rsidR="00BA21E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2982" w14:textId="77777777" w:rsidR="00AD7FA7" w:rsidRDefault="00AD7FA7">
      <w:pPr>
        <w:spacing w:line="240" w:lineRule="auto"/>
      </w:pPr>
      <w:r>
        <w:separator/>
      </w:r>
    </w:p>
  </w:endnote>
  <w:endnote w:type="continuationSeparator" w:id="0">
    <w:p w14:paraId="24918162" w14:textId="77777777" w:rsidR="00AD7FA7" w:rsidRDefault="00AD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2749" w14:textId="77777777" w:rsidR="00AD7FA7" w:rsidRDefault="00AD7FA7">
      <w:pPr>
        <w:spacing w:line="240" w:lineRule="auto"/>
      </w:pPr>
      <w:r>
        <w:separator/>
      </w:r>
    </w:p>
  </w:footnote>
  <w:footnote w:type="continuationSeparator" w:id="0">
    <w:p w14:paraId="41496344" w14:textId="77777777" w:rsidR="00AD7FA7" w:rsidRDefault="00AD7FA7">
      <w:pPr>
        <w:spacing w:line="240" w:lineRule="auto"/>
      </w:pPr>
      <w:r>
        <w:continuationSeparator/>
      </w:r>
    </w:p>
  </w:footnote>
  <w:footnote w:id="1">
    <w:p w14:paraId="00000053" w14:textId="77777777" w:rsidR="00BA21E4" w:rsidRPr="003A7EC6" w:rsidRDefault="00AF30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3A7EC6">
        <w:rPr>
          <w:rFonts w:ascii="Times New Roman" w:eastAsia="Times New Roman" w:hAnsi="Times New Roman" w:cs="Times New Roman"/>
          <w:sz w:val="20"/>
          <w:szCs w:val="20"/>
        </w:rPr>
        <w:t>Observations include generalized calls for reduction in energy infrastructure deficits, except where renewable energy projects are cited.</w:t>
      </w:r>
    </w:p>
  </w:footnote>
  <w:footnote w:id="2">
    <w:p w14:paraId="63A6D8FF" w14:textId="77777777" w:rsidR="000B46A6" w:rsidRDefault="000B46A6" w:rsidP="000B46A6">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20"/>
          <w:szCs w:val="20"/>
        </w:rPr>
        <w:t>Where specificity is lacking, broad calls for privatization of SOEs are assumed to include power companies and utilities, as there is no discernable difference in the Fund’s treatment of these sectors as essential provisions.</w:t>
      </w:r>
    </w:p>
  </w:footnote>
  <w:footnote w:id="3">
    <w:p w14:paraId="00000051" w14:textId="77777777" w:rsidR="00BA21E4" w:rsidRDefault="00AF304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IMF Monitor: Article IV Scanner </w:t>
      </w:r>
      <w:hyperlink r:id="rId1">
        <w:r>
          <w:rPr>
            <w:rFonts w:ascii="Times New Roman" w:eastAsia="Times New Roman" w:hAnsi="Times New Roman" w:cs="Times New Roman"/>
            <w:color w:val="1155CC"/>
            <w:u w:val="single"/>
          </w:rPr>
          <w:t>https://articleivscanner.imfmonitor.org/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0EFE"/>
    <w:multiLevelType w:val="multilevel"/>
    <w:tmpl w:val="851AA758"/>
    <w:lvl w:ilvl="0">
      <w:start w:val="1"/>
      <w:numFmt w:val="decimal"/>
      <w:lvlText w:val="%1)"/>
      <w:lvlJc w:val="left"/>
      <w:pPr>
        <w:ind w:left="2160" w:hanging="360"/>
      </w:pPr>
      <w:rPr>
        <w:rFonts w:ascii="Times New Roman" w:hAnsi="Times New Roman" w:cs="Times New Roman"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E4"/>
    <w:rsid w:val="000B46A6"/>
    <w:rsid w:val="000F61D0"/>
    <w:rsid w:val="003A7EC6"/>
    <w:rsid w:val="004E7E57"/>
    <w:rsid w:val="006A7BAF"/>
    <w:rsid w:val="008339F9"/>
    <w:rsid w:val="00997542"/>
    <w:rsid w:val="009C4412"/>
    <w:rsid w:val="00A13E30"/>
    <w:rsid w:val="00A84D7C"/>
    <w:rsid w:val="00AD7FA7"/>
    <w:rsid w:val="00AF3044"/>
    <w:rsid w:val="00B03045"/>
    <w:rsid w:val="00B62193"/>
    <w:rsid w:val="00BA1E58"/>
    <w:rsid w:val="00BA21E4"/>
    <w:rsid w:val="00EB7395"/>
    <w:rsid w:val="00EE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9B4F"/>
  <w15:docId w15:val="{4EBBA9AF-DE95-4B5B-9EC8-6CBC8BF8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84D7C"/>
    <w:rPr>
      <w:sz w:val="16"/>
      <w:szCs w:val="16"/>
    </w:rPr>
  </w:style>
  <w:style w:type="paragraph" w:styleId="CommentText">
    <w:name w:val="annotation text"/>
    <w:basedOn w:val="Normal"/>
    <w:link w:val="CommentTextChar"/>
    <w:uiPriority w:val="99"/>
    <w:semiHidden/>
    <w:unhideWhenUsed/>
    <w:rsid w:val="00A84D7C"/>
    <w:pPr>
      <w:spacing w:line="240" w:lineRule="auto"/>
    </w:pPr>
    <w:rPr>
      <w:sz w:val="20"/>
      <w:szCs w:val="20"/>
    </w:rPr>
  </w:style>
  <w:style w:type="character" w:customStyle="1" w:styleId="CommentTextChar">
    <w:name w:val="Comment Text Char"/>
    <w:basedOn w:val="DefaultParagraphFont"/>
    <w:link w:val="CommentText"/>
    <w:uiPriority w:val="99"/>
    <w:semiHidden/>
    <w:rsid w:val="00A84D7C"/>
    <w:rPr>
      <w:sz w:val="20"/>
      <w:szCs w:val="20"/>
    </w:rPr>
  </w:style>
  <w:style w:type="paragraph" w:styleId="CommentSubject">
    <w:name w:val="annotation subject"/>
    <w:basedOn w:val="CommentText"/>
    <w:next w:val="CommentText"/>
    <w:link w:val="CommentSubjectChar"/>
    <w:uiPriority w:val="99"/>
    <w:semiHidden/>
    <w:unhideWhenUsed/>
    <w:rsid w:val="00A84D7C"/>
    <w:rPr>
      <w:b/>
      <w:bCs/>
    </w:rPr>
  </w:style>
  <w:style w:type="character" w:customStyle="1" w:styleId="CommentSubjectChar">
    <w:name w:val="Comment Subject Char"/>
    <w:basedOn w:val="CommentTextChar"/>
    <w:link w:val="CommentSubject"/>
    <w:uiPriority w:val="99"/>
    <w:semiHidden/>
    <w:rsid w:val="00A84D7C"/>
    <w:rPr>
      <w:b/>
      <w:bCs/>
      <w:sz w:val="20"/>
      <w:szCs w:val="20"/>
    </w:rPr>
  </w:style>
  <w:style w:type="character" w:styleId="Hyperlink">
    <w:name w:val="Hyperlink"/>
    <w:basedOn w:val="DefaultParagraphFont"/>
    <w:uiPriority w:val="99"/>
    <w:unhideWhenUsed/>
    <w:rsid w:val="003A7EC6"/>
    <w:rPr>
      <w:color w:val="0000FF" w:themeColor="hyperlink"/>
      <w:u w:val="single"/>
    </w:rPr>
  </w:style>
  <w:style w:type="character" w:styleId="UnresolvedMention">
    <w:name w:val="Unresolved Mention"/>
    <w:basedOn w:val="DefaultParagraphFont"/>
    <w:uiPriority w:val="99"/>
    <w:semiHidden/>
    <w:unhideWhenUsed/>
    <w:rsid w:val="003A7EC6"/>
    <w:rPr>
      <w:color w:val="605E5C"/>
      <w:shd w:val="clear" w:color="auto" w:fill="E1DFDD"/>
    </w:rPr>
  </w:style>
  <w:style w:type="character" w:styleId="IntenseEmphasis">
    <w:name w:val="Intense Emphasis"/>
    <w:basedOn w:val="DefaultParagraphFont"/>
    <w:uiPriority w:val="21"/>
    <w:qFormat/>
    <w:rsid w:val="000B46A6"/>
    <w:rPr>
      <w:i/>
      <w:iCs/>
      <w:color w:val="4F81BD" w:themeColor="accent1"/>
    </w:rPr>
  </w:style>
  <w:style w:type="paragraph" w:styleId="TOC1">
    <w:name w:val="toc 1"/>
    <w:basedOn w:val="Normal"/>
    <w:next w:val="Normal"/>
    <w:autoRedefine/>
    <w:uiPriority w:val="39"/>
    <w:unhideWhenUsed/>
    <w:rsid w:val="000B46A6"/>
    <w:pPr>
      <w:spacing w:after="100"/>
    </w:pPr>
  </w:style>
  <w:style w:type="paragraph" w:styleId="TOC3">
    <w:name w:val="toc 3"/>
    <w:basedOn w:val="Normal"/>
    <w:next w:val="Normal"/>
    <w:autoRedefine/>
    <w:uiPriority w:val="39"/>
    <w:unhideWhenUsed/>
    <w:rsid w:val="000B46A6"/>
    <w:pPr>
      <w:spacing w:after="100"/>
      <w:ind w:left="440"/>
    </w:pPr>
  </w:style>
  <w:style w:type="paragraph" w:styleId="TOC4">
    <w:name w:val="toc 4"/>
    <w:basedOn w:val="Normal"/>
    <w:next w:val="Normal"/>
    <w:autoRedefine/>
    <w:uiPriority w:val="39"/>
    <w:unhideWhenUsed/>
    <w:rsid w:val="000B46A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f.org/" TargetMode="External"/><Relationship Id="rId13" Type="http://schemas.openxmlformats.org/officeDocument/2006/relationships/hyperlink" Target="https://www.imf.org/en/Publications/CR/Issues/2019/07/30/Indonesia-2019-Article-IV-Consultation-Press-Release-Staff-Report-and-Statement-by-the-48535" TargetMode="External"/><Relationship Id="rId18" Type="http://schemas.openxmlformats.org/officeDocument/2006/relationships/hyperlink" Target="https://www.imf.org/en/Publications/CR/Issues/2018/03/07/Republic-of-Mozambique-2018-Article-IV-Consultation-Press-Release-Staff-Report-and-Statement-45701"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www.imf.org/en/Publications/CR/Issues/2021/03/01/Indonesia-2020-Article-IV-Consultation-Press-Release-Staff-Report-and-Statement-by-the-50131" TargetMode="External"/><Relationship Id="rId17" Type="http://schemas.openxmlformats.org/officeDocument/2006/relationships/hyperlink" Target="https://www.imf.org/en/Publications/CR/Issues/2019/06/18/Republic-of-Mozambique-2019-Article-IV-Consultation-Press-Release-Staff-Report-and-Statement-46996"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imf.org/en/Publications/CR/Issues/2016/12/31/Indonesia-2015-Article-IV-Consultation-Press-Release-Staff-Report-and-Statement-by-the-43787"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cene.apache.org/"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imf.org/en/Publications/CR/Issues/2017/02/03/Indonesia-2016-Article-IV-Consultation-Press-Release-Staff-Report-and-Statement-by-the-4462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docfetcherpro.com/features/" TargetMode="External"/><Relationship Id="rId19" Type="http://schemas.openxmlformats.org/officeDocument/2006/relationships/hyperlink" Target="https://www.imf.org/en/Publications/CR/Issues/2016/12/31/Republic-of-Mozambique-Staff-Report-for-the-2015-Article-IV-Consultation-Fifth-Review-Under-43588" TargetMode="External"/><Relationship Id="rId4" Type="http://schemas.openxmlformats.org/officeDocument/2006/relationships/webSettings" Target="webSettings.xml"/><Relationship Id="rId9" Type="http://schemas.openxmlformats.org/officeDocument/2006/relationships/hyperlink" Target="https://web.archive.org" TargetMode="External"/><Relationship Id="rId14" Type="http://schemas.openxmlformats.org/officeDocument/2006/relationships/hyperlink" Target="https://www.imf.org/en/Publications/CR/Issues/2018/02/06/Indonesia-2017-Article-IV-Consultation-Press-Release-Staff-Report-and-Statement-by-the-45614"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ticleivscanner.imfmoni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Walker</dc:creator>
  <cp:lastModifiedBy>Jo Walker</cp:lastModifiedBy>
  <cp:revision>2</cp:revision>
  <dcterms:created xsi:type="dcterms:W3CDTF">2021-08-14T13:09:00Z</dcterms:created>
  <dcterms:modified xsi:type="dcterms:W3CDTF">2021-08-14T13:09:00Z</dcterms:modified>
</cp:coreProperties>
</file>